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Academic</w:t>
      </w:r>
      <w:r>
        <w:t xml:space="preserve"> </w:t>
      </w:r>
      <w:r>
        <w:t xml:space="preserve">Researcher</w:t>
      </w:r>
      <w:r>
        <w:t xml:space="preserve"> </w:t>
      </w:r>
      <w:r>
        <w:t xml:space="preserve">-</w:t>
      </w:r>
      <w:r>
        <w:t xml:space="preserve"> </w:t>
      </w:r>
      <w:r>
        <w:t xml:space="preserve">Philippines</w:t>
      </w:r>
      <w:r>
        <w:t xml:space="preserve"> </w:t>
      </w:r>
      <w:r>
        <w:t xml:space="preserve">Manila</w:t>
      </w:r>
    </w:p>
    <w:bookmarkStart w:id="20" w:name="quotation-estimate"/>
    <w:p>
      <w:pPr>
        <w:pStyle w:val="Heading1"/>
      </w:pPr>
      <w:r>
        <w:t xml:space="preserve">Quotation Estimate</w:t>
      </w:r>
    </w:p>
    <w:p>
      <w:pPr>
        <w:pStyle w:val="FirstParagraph"/>
      </w:pPr>
      <w:r>
        <w:rPr>
          <w:bCs/>
          <w:b/>
        </w:rPr>
        <w:t xml:space="preserve">Manila Research &amp; Academic Consulting Services, Inc.</w:t>
      </w:r>
    </w:p>
    <w:p>
      <w:pPr>
        <w:pStyle w:val="BodyText"/>
      </w:pPr>
      <w:r>
        <w:t xml:space="preserve">128th Floor, The Atrium Tower, 10011 Makati Avenue, Mandaluyong City, Philippines Manila</w:t>
      </w:r>
    </w:p>
    <w:p>
      <w:pPr>
        <w:pStyle w:val="BodyText"/>
      </w:pPr>
      <w:r>
        <w:t xml:space="preserve">Tel: +63 (2) 8888-4521 | Email: quotations@manilaresearchconsulting.ph</w:t>
      </w:r>
    </w:p>
    <w:p>
      <w:pPr>
        <w:pStyle w:val="BodyText"/>
      </w:pPr>
      <w:r>
        <w:t xml:space="preserve">DTI Registration No. CS2019-1234567 | BIR TIN: 000-123-456-000</w:t>
      </w:r>
    </w:p>
    <w:bookmarkEnd w:id="20"/>
    <w:p>
      <w:pPr>
        <w:pStyle w:val="BodyText"/>
      </w:pPr>
      <w:r>
        <w:rPr>
          <w:bCs/>
          <w:b/>
        </w:rPr>
        <w:t xml:space="preserve">Quotation No.:</w:t>
      </w:r>
      <w:r>
        <w:t xml:space="preserve"> </w:t>
      </w:r>
      <w:r>
        <w:t xml:space="preserve">QTE-2025-0714-AM</w:t>
      </w:r>
    </w:p>
    <w:p>
      <w:pPr>
        <w:pStyle w:val="BodyText"/>
      </w:pPr>
      <w:r>
        <w:rPr>
          <w:bCs/>
          <w:b/>
        </w:rPr>
        <w:t xml:space="preserve">Date Issued:</w:t>
      </w:r>
      <w:r>
        <w:t xml:space="preserve"> </w:t>
      </w:r>
      <w:r>
        <w:t xml:space="preserve">July 14, 2025</w:t>
      </w:r>
    </w:p>
    <w:p>
      <w:pPr>
        <w:pStyle w:val="BodyText"/>
      </w:pPr>
      <w:r>
        <w:rPr>
          <w:bCs/>
          <w:b/>
        </w:rPr>
        <w:t xml:space="preserve">Valid Until:</w:t>
      </w:r>
      <w:r>
        <w:t xml:space="preserve"> </w:t>
      </w:r>
      <w:r>
        <w:t xml:space="preserve">August 14, 2025</w:t>
      </w:r>
    </w:p>
    <w:p>
      <w:pPr>
        <w:pStyle w:val="BodyText"/>
      </w:pPr>
      <w:r>
        <w:rPr>
          <w:bCs/>
          <w:b/>
        </w:rPr>
        <w:t xml:space="preserve">Prepared For:</w:t>
      </w:r>
    </w:p>
    <w:p>
      <w:pPr>
        <w:pStyle w:val="BodyText"/>
      </w:pPr>
      <w:r>
        <w:t xml:space="preserve">Dr. Elena M. Santos</w:t>
      </w:r>
    </w:p>
    <w:p>
      <w:pPr>
        <w:pStyle w:val="BodyText"/>
      </w:pPr>
      <w:r>
        <w:t xml:space="preserve">Department of Social Sciences</w:t>
      </w:r>
    </w:p>
    <w:p>
      <w:pPr>
        <w:pStyle w:val="BodyText"/>
      </w:pPr>
      <w:r>
        <w:t xml:space="preserve">University of the Philippines Manila</w:t>
      </w:r>
    </w:p>
    <w:p>
      <w:pPr>
        <w:pStyle w:val="BodyText"/>
      </w:pPr>
      <w:r>
        <w:t xml:space="preserve">10009 Diliman, Quezon City, Philippines</w:t>
      </w:r>
    </w:p>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formally issued by Manila Research &amp; Academic Consulting Services, Inc. to provide a comprehensive and itemized financial breakdown for the engagement of a qualified</w:t>
      </w:r>
      <w:r>
        <w:t xml:space="preserve"> </w:t>
      </w:r>
      <w:r>
        <w:t xml:space="preserve">Academic Researcher</w:t>
      </w:r>
      <w:r>
        <w:t xml:space="preserve"> </w:t>
      </w:r>
      <w:r>
        <w:t xml:space="preserve">to support research, data collection, literature review, and analytical writing tasks within the greater</w:t>
      </w:r>
      <w:r>
        <w:t xml:space="preserve"> </w:t>
      </w:r>
      <w:r>
        <w:t xml:space="preserve">Philippines Manila</w:t>
      </w:r>
      <w:r>
        <w:t xml:space="preserve"> </w:t>
      </w:r>
      <w:r>
        <w:t xml:space="preserve">metropolitan area. This document serves as the official pricing reference for the proposed services and is intended to be reviewed, approved, and executed by the requesting institution or individual client.</w:t>
      </w:r>
    </w:p>
    <w:p>
      <w:pPr>
        <w:pStyle w:val="BodyText"/>
      </w:pPr>
      <w:r>
        <w:t xml:space="preserve">The</w:t>
      </w:r>
      <w:r>
        <w:t xml:space="preserve"> </w:t>
      </w:r>
      <w:r>
        <w:t xml:space="preserve">Academic Researcher</w:t>
      </w:r>
      <w:r>
        <w:t xml:space="preserve"> </w:t>
      </w:r>
      <w:r>
        <w:t xml:space="preserve">to be engaged under this</w:t>
      </w:r>
      <w:r>
        <w:t xml:space="preserve"> </w:t>
      </w:r>
      <w:r>
        <w:t xml:space="preserve">Quotation Estimate</w:t>
      </w:r>
      <w:r>
        <w:t xml:space="preserve"> </w:t>
      </w:r>
      <w:r>
        <w:t xml:space="preserve">will operate primarily out of our office facilities in</w:t>
      </w:r>
      <w:r>
        <w:t xml:space="preserve"> </w:t>
      </w:r>
      <w:r>
        <w:t xml:space="preserve">Philippines Manila</w:t>
      </w:r>
      <w:r>
        <w:t xml:space="preserve"> </w:t>
      </w:r>
      <w:r>
        <w:t xml:space="preserve">and will be available for on-site consultations at the client's designated location within Metro Manila, including but not limited to university campuses, government research institutions, and private sector offices. The researcher holds a Doctorate in Applied Social Sciences from a recognized Philippine university and possesses a minimum of eight (8) years of peer-reviewed publication experience.</w:t>
      </w:r>
    </w:p>
    <w:p>
      <w:pPr>
        <w:pStyle w:val="BodyText"/>
      </w:pPr>
      <w:r>
        <w:t xml:space="preserve">2. Itemized Services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Duration / Qty</w:t>
            </w:r>
          </w:p>
        </w:tc>
        <w:tc>
          <w:tcPr/>
          <w:p>
            <w:pPr>
              <w:pStyle w:val="Compact"/>
              <w:jc w:val="left"/>
            </w:pPr>
            <w:r>
              <w:t xml:space="preserve">Unit Rate (PHP)</w:t>
            </w:r>
          </w:p>
        </w:tc>
        <w:tc>
          <w:tcPr/>
          <w:p>
            <w:pPr>
              <w:pStyle w:val="Compact"/>
              <w:jc w:val="left"/>
            </w:pPr>
            <w:r>
              <w:t xml:space="preserve">Amount (PHP)</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Academic Researcher – Full-time engagement for literature review, theoretical framework development, and methodology design</w:t>
            </w:r>
          </w:p>
        </w:tc>
        <w:tc>
          <w:tcPr/>
          <w:p>
            <w:pPr>
              <w:pStyle w:val="Compact"/>
              <w:jc w:val="left"/>
            </w:pPr>
            <w:r>
              <w:t xml:space="preserve">3 months</w:t>
            </w:r>
          </w:p>
        </w:tc>
        <w:tc>
          <w:tcPr/>
          <w:p>
            <w:pPr>
              <w:pStyle w:val="Compact"/>
              <w:jc w:val="left"/>
            </w:pPr>
            <w:r>
              <w:t xml:space="preserve">₱85,000.00</w:t>
            </w:r>
          </w:p>
        </w:tc>
        <w:tc>
          <w:tcPr/>
          <w:p>
            <w:pPr>
              <w:pStyle w:val="Compact"/>
              <w:jc w:val="left"/>
            </w:pPr>
            <w:r>
              <w:t xml:space="preserve">₱255,000.00</w:t>
            </w:r>
          </w:p>
        </w:tc>
        <w:tc>
          <w:tcPr/>
          <w:p>
            <w:pPr>
              <w:pStyle w:val="Compact"/>
              <w:jc w:val="left"/>
            </w:pPr>
            <w:r>
              <w:t xml:space="preserve">Based on Philippines Manila market rates</w:t>
            </w:r>
          </w:p>
        </w:tc>
      </w:tr>
      <w:tr>
        <w:tc>
          <w:tcPr/>
          <w:p>
            <w:pPr>
              <w:pStyle w:val="Compact"/>
              <w:jc w:val="left"/>
            </w:pPr>
            <w:r>
              <w:t xml:space="preserve">2</w:t>
            </w:r>
          </w:p>
        </w:tc>
        <w:tc>
          <w:tcPr/>
          <w:p>
            <w:pPr>
              <w:pStyle w:val="Compact"/>
              <w:jc w:val="left"/>
            </w:pPr>
            <w:r>
              <w:t xml:space="preserve">On-site data collection and fieldwork supervision within Metro Manila and surrounding provinces</w:t>
            </w:r>
          </w:p>
        </w:tc>
        <w:tc>
          <w:tcPr/>
          <w:p>
            <w:pPr>
              <w:pStyle w:val="Compact"/>
              <w:jc w:val="left"/>
            </w:pPr>
            <w:r>
              <w:t xml:space="preserve">45 days</w:t>
            </w:r>
          </w:p>
        </w:tc>
        <w:tc>
          <w:tcPr/>
          <w:p>
            <w:pPr>
              <w:pStyle w:val="Compact"/>
              <w:jc w:val="left"/>
            </w:pPr>
            <w:r>
              <w:t xml:space="preserve">₱4,500.00</w:t>
            </w:r>
          </w:p>
        </w:tc>
        <w:tc>
          <w:tcPr/>
          <w:p>
            <w:pPr>
              <w:pStyle w:val="Compact"/>
              <w:jc w:val="left"/>
            </w:pPr>
            <w:r>
              <w:t xml:space="preserve">₱202,500.00</w:t>
            </w:r>
          </w:p>
        </w:tc>
        <w:tc>
          <w:tcPr/>
          <w:p>
            <w:pPr>
              <w:pStyle w:val="Compact"/>
              <w:jc w:val="left"/>
            </w:pPr>
            <w:r>
              <w:t xml:space="preserve">Includes travel within Philippines Manila</w:t>
            </w:r>
          </w:p>
        </w:tc>
      </w:tr>
      <w:tr>
        <w:tc>
          <w:tcPr/>
          <w:p>
            <w:pPr>
              <w:pStyle w:val="Compact"/>
              <w:jc w:val="left"/>
            </w:pPr>
            <w:r>
              <w:t xml:space="preserve">3</w:t>
            </w:r>
          </w:p>
        </w:tc>
        <w:tc>
          <w:tcPr/>
          <w:p>
            <w:pPr>
              <w:pStyle w:val="Compact"/>
              <w:jc w:val="left"/>
            </w:pPr>
            <w:r>
              <w:t xml:space="preserve">Statistical analysis, data coding, and quantitative/qualitative interpretation</w:t>
            </w:r>
          </w:p>
        </w:tc>
        <w:tc>
          <w:tcPr/>
          <w:p>
            <w:pPr>
              <w:pStyle w:val="Compact"/>
              <w:jc w:val="left"/>
            </w:pPr>
            <w:r>
              <w:t xml:space="preserve">60 days</w:t>
            </w:r>
          </w:p>
        </w:tc>
        <w:tc>
          <w:tcPr/>
          <w:p>
            <w:pPr>
              <w:pStyle w:val="Compact"/>
              <w:jc w:val="left"/>
            </w:pPr>
            <w:r>
              <w:t xml:space="preserve">₱3,800.00</w:t>
            </w:r>
          </w:p>
        </w:tc>
        <w:tc>
          <w:tcPr/>
          <w:p>
            <w:pPr>
              <w:pStyle w:val="Compact"/>
              <w:jc w:val="left"/>
            </w:pPr>
            <w:r>
              <w:t xml:space="preserve">₱228,000.00</w:t>
            </w:r>
          </w:p>
        </w:tc>
        <w:tc>
          <w:tcPr/>
          <w:p>
            <w:pPr>
              <w:pStyle w:val="Compact"/>
              <w:jc w:val="left"/>
            </w:pPr>
            <w:r>
              <w:t xml:space="preserve">SPSS, NVivo, R software included</w:t>
            </w:r>
          </w:p>
        </w:tc>
      </w:tr>
      <w:tr>
        <w:tc>
          <w:tcPr/>
          <w:p>
            <w:pPr>
              <w:pStyle w:val="Compact"/>
              <w:jc w:val="left"/>
            </w:pPr>
            <w:r>
              <w:t xml:space="preserve">4</w:t>
            </w:r>
          </w:p>
        </w:tc>
        <w:tc>
          <w:tcPr/>
          <w:p>
            <w:pPr>
              <w:pStyle w:val="Compact"/>
              <w:jc w:val="left"/>
            </w:pPr>
            <w:r>
              <w:t xml:space="preserve">Manuscript drafting, peer-review preparation, and journal submission support</w:t>
            </w:r>
          </w:p>
        </w:tc>
        <w:tc>
          <w:tcPr/>
          <w:p>
            <w:pPr>
              <w:pStyle w:val="Compact"/>
              <w:jc w:val="left"/>
            </w:pPr>
            <w:r>
              <w:t xml:space="preserve">2 manuscripts</w:t>
            </w:r>
          </w:p>
        </w:tc>
        <w:tc>
          <w:tcPr/>
          <w:p>
            <w:pPr>
              <w:pStyle w:val="Compact"/>
              <w:jc w:val="left"/>
            </w:pPr>
            <w:r>
              <w:t xml:space="preserve">₱45,000.00</w:t>
            </w:r>
          </w:p>
        </w:tc>
        <w:tc>
          <w:tcPr/>
          <w:p>
            <w:pPr>
              <w:pStyle w:val="Compact"/>
              <w:jc w:val="left"/>
            </w:pPr>
            <w:r>
              <w:t xml:space="preserve">₱90,000.00</w:t>
            </w:r>
          </w:p>
        </w:tc>
        <w:tc>
          <w:tcPr/>
          <w:p>
            <w:pPr>
              <w:pStyle w:val="Compact"/>
              <w:jc w:val="left"/>
            </w:pPr>
            <w:r>
              <w:t xml:space="preserve">Per manuscript deliverable</w:t>
            </w:r>
          </w:p>
        </w:tc>
      </w:tr>
      <w:tr>
        <w:tc>
          <w:tcPr/>
          <w:p>
            <w:pPr>
              <w:pStyle w:val="Compact"/>
              <w:jc w:val="left"/>
            </w:pPr>
            <w:r>
              <w:t xml:space="preserve">5</w:t>
            </w:r>
          </w:p>
        </w:tc>
        <w:tc>
          <w:tcPr/>
          <w:p>
            <w:pPr>
              <w:pStyle w:val="Compact"/>
              <w:jc w:val="left"/>
            </w:pPr>
            <w:r>
              <w:t xml:space="preserve">Weekly progress reporting and bi-weekly consultation meetings (in-person or virtual)</w:t>
            </w:r>
          </w:p>
        </w:tc>
        <w:tc>
          <w:tcPr/>
          <w:p>
            <w:pPr>
              <w:pStyle w:val="Compact"/>
              <w:jc w:val="left"/>
            </w:pPr>
            <w:r>
              <w:t xml:space="preserve">12 weeks</w:t>
            </w:r>
          </w:p>
        </w:tc>
        <w:tc>
          <w:tcPr/>
          <w:p>
            <w:pPr>
              <w:pStyle w:val="Compact"/>
              <w:jc w:val="left"/>
            </w:pPr>
            <w:r>
              <w:t xml:space="preserve">₱5,000.00</w:t>
            </w:r>
          </w:p>
        </w:tc>
        <w:tc>
          <w:tcPr/>
          <w:p>
            <w:pPr>
              <w:pStyle w:val="Compact"/>
              <w:jc w:val="left"/>
            </w:pPr>
            <w:r>
              <w:t xml:space="preserve">₱60,000.00</w:t>
            </w:r>
          </w:p>
        </w:tc>
        <w:tc>
          <w:tcPr/>
          <w:p>
            <w:pPr>
              <w:pStyle w:val="Compact"/>
              <w:jc w:val="left"/>
            </w:pPr>
            <w:r>
              <w:t xml:space="preserve">Conducted in Philippines Manila</w:t>
            </w:r>
          </w:p>
        </w:tc>
      </w:tr>
      <w:tr>
        <w:tc>
          <w:tcPr/>
          <w:p>
            <w:pPr>
              <w:pStyle w:val="Compact"/>
              <w:jc w:val="left"/>
            </w:pPr>
            <w:r>
              <w:t xml:space="preserve">6</w:t>
            </w:r>
          </w:p>
        </w:tc>
        <w:tc>
          <w:tcPr/>
          <w:p>
            <w:pPr>
              <w:pStyle w:val="Compact"/>
              <w:jc w:val="left"/>
            </w:pPr>
            <w:r>
              <w:t xml:space="preserve">Access to academic databases, journals, and research repositories (institutional licensing)</w:t>
            </w:r>
          </w:p>
        </w:tc>
        <w:tc>
          <w:tcPr/>
          <w:p>
            <w:pPr>
              <w:pStyle w:val="Compact"/>
              <w:jc w:val="left"/>
            </w:pPr>
            <w:r>
              <w:t xml:space="preserve">3 months</w:t>
            </w:r>
          </w:p>
        </w:tc>
        <w:tc>
          <w:tcPr/>
          <w:p>
            <w:pPr>
              <w:pStyle w:val="Compact"/>
              <w:jc w:val="left"/>
            </w:pPr>
            <w:r>
              <w:t xml:space="preserve">₱12,000.00</w:t>
            </w:r>
          </w:p>
        </w:tc>
        <w:tc>
          <w:tcPr/>
          <w:p>
            <w:pPr>
              <w:pStyle w:val="Compact"/>
              <w:jc w:val="left"/>
            </w:pPr>
            <w:r>
              <w:t xml:space="preserve">₱36,000.00</w:t>
            </w:r>
          </w:p>
        </w:tc>
        <w:tc>
          <w:tcPr/>
          <w:p>
            <w:pPr>
              <w:pStyle w:val="Compact"/>
              <w:jc w:val="left"/>
            </w:pPr>
            <w:r>
              <w:t xml:space="preserve">JSTOR, Scopus, PhilJournals</w:t>
            </w:r>
          </w:p>
        </w:tc>
      </w:tr>
      <w:tr>
        <w:tc>
          <w:tcPr/>
          <w:p>
            <w:pPr>
              <w:pStyle w:val="Compact"/>
              <w:jc w:val="left"/>
            </w:pPr>
            <w:r>
              <w:t xml:space="preserve">7</w:t>
            </w:r>
          </w:p>
        </w:tc>
        <w:tc>
          <w:tcPr/>
          <w:p>
            <w:pPr>
              <w:pStyle w:val="Compact"/>
              <w:jc w:val="left"/>
            </w:pPr>
            <w:r>
              <w:t xml:space="preserve">Administrative support, document formatting, and compliance with Philippine academic standards</w:t>
            </w:r>
          </w:p>
        </w:tc>
        <w:tc>
          <w:tcPr/>
          <w:p>
            <w:pPr>
              <w:pStyle w:val="Compact"/>
              <w:jc w:val="left"/>
            </w:pPr>
            <w:r>
              <w:t xml:space="preserve">3 months</w:t>
            </w:r>
          </w:p>
        </w:tc>
        <w:tc>
          <w:tcPr/>
          <w:p>
            <w:pPr>
              <w:pStyle w:val="Compact"/>
              <w:jc w:val="left"/>
            </w:pPr>
            <w:r>
              <w:t xml:space="preserve">₱8,000.00</w:t>
            </w:r>
          </w:p>
        </w:tc>
        <w:tc>
          <w:tcPr/>
          <w:p>
            <w:pPr>
              <w:pStyle w:val="Compact"/>
              <w:jc w:val="left"/>
            </w:pPr>
            <w:r>
              <w:t xml:space="preserve">₱24,000.00</w:t>
            </w:r>
          </w:p>
        </w:tc>
        <w:tc>
          <w:tcPr/>
          <w:p>
            <w:pPr>
              <w:pStyle w:val="Compact"/>
              <w:jc w:val="left"/>
            </w:pPr>
            <w:r>
              <w:t xml:space="preserve">CHED and UP standards</w:t>
            </w:r>
          </w:p>
        </w:tc>
      </w:tr>
      <w:tr>
        <w:tc>
          <w:tcPr>
            <w:gridSpan w:val="4"/>
          </w:tcPr>
          <w:p>
            <w:pPr>
              <w:pStyle w:val="Compact"/>
              <w:jc w:val="right"/>
            </w:pPr>
            <w:r>
              <w:t xml:space="preserve">Subtotal:</w:t>
            </w:r>
          </w:p>
        </w:tc>
        <w:tc>
          <w:tcPr/>
          <w:p>
            <w:pPr>
              <w:pStyle w:val="Compact"/>
              <w:jc w:val="left"/>
            </w:pPr>
            <w:r>
              <w:t xml:space="preserve">₱895,500.00</w:t>
            </w:r>
          </w:p>
        </w:tc>
        <w:tc>
          <w:tcPr/>
          <w:p>
            <w:pPr>
              <w:pStyle w:val="Compact"/>
            </w:pPr>
          </w:p>
        </w:tc>
      </w:tr>
      <w:tr>
        <w:tc>
          <w:tcPr>
            <w:gridSpan w:val="4"/>
          </w:tcPr>
          <w:p>
            <w:pPr>
              <w:pStyle w:val="Compact"/>
              <w:jc w:val="right"/>
            </w:pPr>
            <w:r>
              <w:t xml:space="preserve">VAT (12%):</w:t>
            </w:r>
          </w:p>
        </w:tc>
        <w:tc>
          <w:tcPr/>
          <w:p>
            <w:pPr>
              <w:pStyle w:val="Compact"/>
              <w:jc w:val="left"/>
            </w:pPr>
            <w:r>
              <w:t xml:space="preserve">₱107,460.00</w:t>
            </w:r>
          </w:p>
        </w:tc>
        <w:tc>
          <w:tcPr/>
          <w:p>
            <w:pPr>
              <w:pStyle w:val="Compact"/>
              <w:jc w:val="left"/>
            </w:pPr>
            <w:r>
              <w:t xml:space="preserve">As per BIR regulations</w:t>
            </w:r>
          </w:p>
        </w:tc>
      </w:tr>
      <w:tr>
        <w:tc>
          <w:tcPr>
            <w:gridSpan w:val="4"/>
          </w:tcPr>
          <w:p>
            <w:pPr>
              <w:pStyle w:val="Compact"/>
              <w:jc w:val="right"/>
            </w:pPr>
            <w:r>
              <w:t xml:space="preserve">TOTAL AMOUNT DUE:</w:t>
            </w:r>
          </w:p>
        </w:tc>
        <w:tc>
          <w:tcPr/>
          <w:p>
            <w:pPr>
              <w:pStyle w:val="Compact"/>
              <w:jc w:val="left"/>
            </w:pPr>
            <w:r>
              <w:t xml:space="preserve">₱1,002,960.00</w:t>
            </w:r>
          </w:p>
        </w:tc>
        <w:tc>
          <w:tcPr/>
          <w:p>
            <w:pPr>
              <w:pStyle w:val="Compact"/>
              <w:jc w:val="left"/>
            </w:pPr>
            <w:r>
              <w:t xml:space="preserve">One Million Two Thousand Nine Hundred Sixty Pesos and 00/100</w:t>
            </w:r>
          </w:p>
        </w:tc>
      </w:tr>
    </w:tbl>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issuance. After the expiration date, all rates and availability of the</w:t>
      </w:r>
      <w:r>
        <w:t xml:space="preserve"> </w:t>
      </w:r>
      <w:r>
        <w:t xml:space="preserve">Academic Researcher</w:t>
      </w:r>
      <w:r>
        <w:t xml:space="preserve"> </w:t>
      </w:r>
      <w:r>
        <w:t xml:space="preserve">are subject to revision based on current market conditions in</w:t>
      </w:r>
      <w:r>
        <w:t xml:space="preserve"> </w:t>
      </w:r>
      <w:r>
        <w:t xml:space="preserve">Philippines Manila</w:t>
      </w:r>
      <w:r>
        <w:t xml:space="preserve">.</w:t>
      </w:r>
    </w:p>
    <w:p>
      <w:pPr>
        <w:numPr>
          <w:ilvl w:val="0"/>
          <w:numId w:val="1001"/>
        </w:numPr>
        <w:pStyle w:val="Compact"/>
      </w:pPr>
      <w:r>
        <w:t xml:space="preserve">Payment terms: 50% advance payment upon signing of the Service Contract; 30% upon completion of the mid-project milestone; 20% upon final delivery and acceptance of all research outputs.</w:t>
      </w:r>
    </w:p>
    <w:p>
      <w:pPr>
        <w:numPr>
          <w:ilvl w:val="0"/>
          <w:numId w:val="1001"/>
        </w:numPr>
        <w:pStyle w:val="Compact"/>
      </w:pPr>
      <w:r>
        <w:t xml:space="preserve">All payments shall be made in Philippine Pesos (PHP) via bank transfer to the designated account of Manila Research &amp; Academic Consulting Services, Inc., BDO Unibank, Makati Branch, Philippines Manila.</w:t>
      </w:r>
    </w:p>
    <w:p>
      <w:pPr>
        <w:numPr>
          <w:ilvl w:val="0"/>
          <w:numId w:val="1001"/>
        </w:numPr>
        <w:pStyle w:val="Compact"/>
      </w:pPr>
      <w:r>
        <w:t xml:space="preserve">The</w:t>
      </w:r>
      <w:r>
        <w:t xml:space="preserve"> </w:t>
      </w:r>
      <w:r>
        <w:t xml:space="preserve">Academic Researcher</w:t>
      </w:r>
      <w:r>
        <w:t xml:space="preserve"> </w:t>
      </w:r>
      <w:r>
        <w:t xml:space="preserve">shall maintain strict confidentiality of all data, findings, and proprietary information shared by the client. A Non-Disclosure Agreement (NDA) shall be executed prior to the commencement of work.</w:t>
      </w:r>
    </w:p>
    <w:p>
      <w:pPr>
        <w:numPr>
          <w:ilvl w:val="0"/>
          <w:numId w:val="1001"/>
        </w:numPr>
        <w:pStyle w:val="Compact"/>
      </w:pPr>
      <w:r>
        <w:t xml:space="preserve">Any additional services, scope changes, or extensions beyond the parameters outlined in this</w:t>
      </w:r>
      <w:r>
        <w:t xml:space="preserve"> </w:t>
      </w:r>
      <w:r>
        <w:t xml:space="preserve">Quotation Estimate</w:t>
      </w:r>
      <w:r>
        <w:t xml:space="preserve"> </w:t>
      </w:r>
      <w:r>
        <w:t xml:space="preserve">shall require a written amendment signed by both parties. Additional charges will be calculated at the prevailing daily rate of the</w:t>
      </w:r>
      <w:r>
        <w:t xml:space="preserve"> </w:t>
      </w:r>
      <w:r>
        <w:t xml:space="preserve">Academic Researcher</w:t>
      </w:r>
      <w:r>
        <w:t xml:space="preserve"> </w:t>
      </w:r>
      <w:r>
        <w:t xml:space="preserve">as stated herein.</w:t>
      </w:r>
    </w:p>
    <w:p>
      <w:pPr>
        <w:numPr>
          <w:ilvl w:val="0"/>
          <w:numId w:val="1001"/>
        </w:numPr>
        <w:pStyle w:val="Compact"/>
      </w:pPr>
      <w:r>
        <w:t xml:space="preserve">The client is responsible for providing all necessary research permits, ethics clearances (IRB/IRCC), and institutional approvals required under Philippine law and university regulations before fieldwork commences in</w:t>
      </w:r>
      <w:r>
        <w:t xml:space="preserve"> </w:t>
      </w:r>
      <w:r>
        <w:t xml:space="preserve">Philippines Manila</w:t>
      </w:r>
      <w:r>
        <w:t xml:space="preserve"> </w:t>
      </w:r>
      <w:r>
        <w:t xml:space="preserve">or its surrounding regions.</w:t>
      </w:r>
    </w:p>
    <w:p>
      <w:pPr>
        <w:numPr>
          <w:ilvl w:val="0"/>
          <w:numId w:val="1001"/>
        </w:numPr>
        <w:pStyle w:val="Compact"/>
      </w:pPr>
      <w:r>
        <w:t xml:space="preserve">Force majeure events, including but not limited to typhoons, government-issued quarantine orders, or civil unrest affecting the</w:t>
      </w:r>
      <w:r>
        <w:t xml:space="preserve"> </w:t>
      </w:r>
      <w:r>
        <w:t xml:space="preserve">Philippines Manila</w:t>
      </w:r>
      <w:r>
        <w:t xml:space="preserve"> </w:t>
      </w:r>
      <w:r>
        <w:t xml:space="preserve">area, shall suspend the project timeline without penalty to either party.</w:t>
      </w:r>
    </w:p>
    <w:p>
      <w:pPr>
        <w:numPr>
          <w:ilvl w:val="0"/>
          <w:numId w:val="1001"/>
        </w:numPr>
        <w:pStyle w:val="Compact"/>
      </w:pPr>
      <w:r>
        <w:t xml:space="preserve">All intellectual property and publication rights shall be jointly owned by the client institution and the</w:t>
      </w:r>
      <w:r>
        <w:t xml:space="preserve"> </w:t>
      </w:r>
      <w:r>
        <w:t xml:space="preserve">Academic Researcher</w:t>
      </w:r>
      <w:r>
        <w:t xml:space="preserve">, as stipulated in the separate Intellectual Property Agreement to be executed concurrently with the Service Contract.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both parties have executed the formal Service Agreement. It is solely a good-faith estimate of costs and services.</w:t>
      </w:r>
    </w:p>
    <w:p>
      <w:pPr>
        <w:pStyle w:val="FirstParagraph"/>
      </w:pPr>
      <w:r>
        <w:t xml:space="preserve">4. Assumptions and Exclusions</w:t>
      </w:r>
    </w:p>
    <w:p>
      <w:pPr>
        <w:pStyle w:val="BodyText"/>
      </w:pPr>
      <w:r>
        <w:t xml:space="preserve">The rates presented in this</w:t>
      </w:r>
      <w:r>
        <w:t xml:space="preserve"> </w:t>
      </w:r>
      <w:r>
        <w:t xml:space="preserve">Quotation Estimate</w:t>
      </w:r>
      <w:r>
        <w:t xml:space="preserve"> </w:t>
      </w:r>
      <w:r>
        <w:t xml:space="preserve">assume that the</w:t>
      </w:r>
      <w:r>
        <w:t xml:space="preserve"> </w:t>
      </w:r>
      <w:r>
        <w:t xml:space="preserve">Academic Researcher</w:t>
      </w:r>
      <w:r>
        <w:t xml:space="preserve"> </w:t>
      </w:r>
      <w:r>
        <w:t xml:space="preserve">will be working within the standard operational hours of 8:00 AM to 5:00 PM, Monday through Friday, in the</w:t>
      </w:r>
      <w:r>
        <w:t xml:space="preserve"> </w:t>
      </w:r>
      <w:r>
        <w:t xml:space="preserve">Philippines Manila</w:t>
      </w:r>
      <w:r>
        <w:t xml:space="preserve"> </w:t>
      </w:r>
      <w:r>
        <w:t xml:space="preserve">time zone (PST, UTC+8). Overtime work, weekend consultations, or travel to provinces outside Metro Manila will be billed separately at 1.5x the standard daily rate. The cost of printing, binding, and physical distribution of final research documents is excluded from this estimate and will be charged at actual cost.</w:t>
      </w:r>
    </w:p>
    <w:p>
      <w:pPr>
        <w:pStyle w:val="BodyText"/>
      </w:pPr>
      <w:r>
        <w:rPr>
          <w:bCs/>
          <w:b/>
        </w:rPr>
        <w:t xml:space="preserve">Note:</w:t>
      </w:r>
      <w:r>
        <w:t xml:space="preserve"> </w:t>
      </w:r>
      <w:r>
        <w:t xml:space="preserve">This Quotation Estimate has been prepared in accordance with the Philippine Financial Reporting Standards and the Bureau of Internal Revenue (BIR) guidelines for professional service quotations. All amounts are inclusive of applicable Philippine taxes unless otherwise stated.</w:t>
      </w:r>
    </w:p>
    <w:p>
      <w:pPr>
        <w:pStyle w:val="BodyText"/>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engagement of the</w:t>
      </w:r>
      <w:r>
        <w:t xml:space="preserve"> </w:t>
      </w:r>
      <w:r>
        <w:t xml:space="preserve">Academic Researcher</w:t>
      </w:r>
      <w:r>
        <w:t xml:space="preserve"> </w:t>
      </w:r>
      <w:r>
        <w:t xml:space="preserve">in</w:t>
      </w:r>
      <w:r>
        <w:t xml:space="preserve"> </w:t>
      </w:r>
      <w:r>
        <w:t xml:space="preserve">Philippines Manila</w:t>
      </w:r>
      <w:r>
        <w:t xml:space="preserve">. This acceptance does not obligate the service provider to commence work until the formal Service Contract is executed and the advance payment has been received.</w:t>
      </w:r>
    </w:p>
    <w:p>
      <w:pPr>
        <w:pStyle w:val="BodyText"/>
      </w:pPr>
      <w:r>
        <w:rPr>
          <w:bCs/>
          <w:b/>
        </w:rPr>
        <w:t xml:space="preserve">Prepared by:</w:t>
      </w:r>
      <w:r>
        <w:br/>
      </w:r>
      <w:r>
        <w:t xml:space="preserve">Mr. Ricardo T. Villanueva</w:t>
      </w:r>
      <w:r>
        <w:br/>
      </w:r>
      <w:r>
        <w:t xml:space="preserve">Senior Account Manager</w:t>
      </w:r>
      <w:r>
        <w:br/>
      </w:r>
      <w:r>
        <w:t xml:space="preserve">Manila Research &amp; Academic Consulting Services, Inc.</w:t>
      </w:r>
      <w:r>
        <w:br/>
      </w:r>
      <w:r>
        <w:t xml:space="preserve">Date: _______________</w:t>
      </w:r>
    </w:p>
    <w:p>
      <w:pPr>
        <w:pStyle w:val="BodyText"/>
      </w:pPr>
      <w:r>
        <w:rPr>
          <w:bCs/>
          <w:b/>
        </w:rPr>
        <w:t xml:space="preserve">Accepted by (Client):</w:t>
      </w:r>
      <w:r>
        <w:br/>
      </w:r>
      <w:r>
        <w:t xml:space="preserve">Dr. Elena M. Santos</w:t>
      </w:r>
      <w:r>
        <w:br/>
      </w:r>
      <w:r>
        <w:t xml:space="preserve">Department Head, Social Sciences</w:t>
      </w:r>
      <w:r>
        <w:br/>
      </w:r>
      <w:r>
        <w:t xml:space="preserve">University of the Philippines Manila</w:t>
      </w:r>
      <w:r>
        <w:br/>
      </w:r>
      <w:r>
        <w:t xml:space="preserve">Date: _______________</w:t>
      </w:r>
    </w:p>
    <w:p>
      <w:pPr>
        <w:pStyle w:val="BodyText"/>
      </w:pPr>
      <w:r>
        <w:t xml:space="preserve">Manila Research &amp; Academic Consulting Services, Inc. | Philippines Manila | This Quotation Estimate is confidential and intended solely for the named recipient.</w:t>
      </w:r>
    </w:p>
    <w:p>
      <w:pPr>
        <w:pStyle w:val="BodyText"/>
      </w:pPr>
      <w:r>
        <w:t xml:space="preserve">Page 1 of 1 | Document Ref: QTE-2025-0714-AM | Generated: July 14,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Academic Researcher - Philippines Manila</dc:title>
  <dc:creator/>
  <dc:language>en</dc:language>
  <cp:keywords/>
  <dcterms:created xsi:type="dcterms:W3CDTF">2026-10-10T09:12:16Z</dcterms:created>
  <dcterms:modified xsi:type="dcterms:W3CDTF">2026-10-10T09:12:16Z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