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scholarbridge-research-consultancy"/>
    <w:p>
      <w:pPr>
        <w:pStyle w:val="Heading1"/>
      </w:pPr>
      <w:r>
        <w:t xml:space="preserve">ScholarBridge Research Consultancy</w:t>
      </w:r>
    </w:p>
    <w:p>
      <w:pPr>
        <w:pStyle w:val="FirstParagraph"/>
      </w:pPr>
      <w:r>
        <w:t xml:space="preserve">Office 412, Al Faisaliah Tower, King Fahd Road, Jeddah 23412, Saudi Arabia</w:t>
      </w:r>
    </w:p>
    <w:p>
      <w:pPr>
        <w:pStyle w:val="BodyText"/>
      </w:pPr>
      <w:r>
        <w:t xml:space="preserve">Tel: +966 12 555 0147 | Email: quotations@scholarbridge.sa</w:t>
      </w:r>
    </w:p>
    <w:p>
      <w:pPr>
        <w:pStyle w:val="BodyText"/>
      </w:pPr>
      <w:r>
        <w:t xml:space="preserve">CR No: 1010XXXXXX | VAT No: 3101XXXXXX-XXXX-XXXX-5</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Reference No:</w:t>
      </w:r>
      <w:r>
        <w:t xml:space="preserve"> </w:t>
      </w:r>
      <w:r>
        <w:t xml:space="preserve">QTE-JED-2025-0487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Dr. Khalid Al-Otaibi</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University of Jeddah – Faculty of Sciences</w:t>
      </w:r>
    </w:p>
    <w:p>
      <w:pPr>
        <w:pStyle w:val="BodyText"/>
      </w:pPr>
      <w:r>
        <w:rPr>
          <w:bCs/>
          <w:b/>
        </w:rPr>
        <w:t xml:space="preserve">Address:</w:t>
      </w:r>
      <w:r>
        <w:t xml:space="preserve"> </w:t>
      </w:r>
      <w:r>
        <w:t xml:space="preserve">Al Zahra District, Jeddah 23442, Saudi Arabia</w:t>
      </w:r>
    </w:p>
    <w:p>
      <w:pPr>
        <w:pStyle w:val="BodyText"/>
      </w:pPr>
      <w:r>
        <w:rPr>
          <w:bCs/>
          <w:b/>
        </w:rPr>
        <w:t xml:space="preserve">Contact Person:</w:t>
      </w:r>
      <w:r>
        <w:t xml:space="preserve"> </w:t>
      </w:r>
      <w:r>
        <w:t xml:space="preserve">Prof. Sarah Al-Harbi</w:t>
      </w:r>
    </w:p>
    <w:p>
      <w:pPr>
        <w:pStyle w:val="BodyText"/>
      </w:pPr>
      <w:r>
        <w:rPr>
          <w:bCs/>
          <w:b/>
        </w:rPr>
        <w:t xml:space="preserve">Email:</w:t>
      </w:r>
      <w:r>
        <w:t xml:space="preserve"> </w:t>
      </w:r>
      <w:r>
        <w:t xml:space="preserve">s.alharbi@uj.edu.sa</w:t>
      </w:r>
    </w:p>
    <w:bookmarkEnd w:id="22"/>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is formally issued by ScholarBridge Research Consultancy to provide a comprehensive cost breakdown for the engagement of a qualified</w:t>
      </w:r>
      <w:r>
        <w:t xml:space="preserve"> </w:t>
      </w:r>
      <w:r>
        <w:t xml:space="preserve">Academic Researcher</w:t>
      </w:r>
      <w:r>
        <w:t xml:space="preserve"> </w:t>
      </w:r>
      <w:r>
        <w:t xml:space="preserve">to deliver specialized research support services within the academic and institutional framework of</w:t>
      </w:r>
      <w:r>
        <w:t xml:space="preserve"> </w:t>
      </w:r>
      <w:r>
        <w:t xml:space="preserve">Saudi Arabia Jeddah</w:t>
      </w:r>
      <w:r>
        <w:t xml:space="preserve">. The scope of work outlined herein encompasses literature review, data collection methodology design, statistical analysis, manuscript preparation, and peer-review support aligned with the strategic research objectives of the client institution. All services will be executed in full compliance with the regulations set forth by the Saudi Commission for Health Specialties (CCHS), the National Center for Academic Excellence (NCAE), and the relevant academic governance bodies operating in</w:t>
      </w:r>
      <w:r>
        <w:t xml:space="preserve"> </w:t>
      </w:r>
      <w:r>
        <w:t xml:space="preserve">Saudi Arabia Jeddah</w:t>
      </w:r>
      <w:r>
        <w:t xml:space="preserve">.</w:t>
      </w:r>
    </w:p>
    <w:p>
      <w:pPr>
        <w:pStyle w:val="BodyText"/>
      </w:pPr>
      <w:r>
        <w:t xml:space="preserve">2. Detailed Cost Breakdown – Academic Researcher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 Rate (SAR)</w:t>
            </w:r>
          </w:p>
        </w:tc>
        <w:tc>
          <w:tcPr/>
          <w:p>
            <w:pPr>
              <w:pStyle w:val="Compact"/>
              <w:jc w:val="left"/>
            </w:pPr>
            <w:r>
              <w:t xml:space="preserve">Quantity</w:t>
            </w:r>
          </w:p>
        </w:tc>
        <w:tc>
          <w:tcPr/>
          <w:p>
            <w:pPr>
              <w:pStyle w:val="Compact"/>
              <w:jc w:val="left"/>
            </w:pPr>
            <w:r>
              <w:t xml:space="preserve">Amount (SAR)</w:t>
            </w:r>
          </w:p>
        </w:tc>
      </w:tr>
      <w:tr>
        <w:tc>
          <w:tcPr/>
          <w:p>
            <w:pPr>
              <w:pStyle w:val="Compact"/>
              <w:jc w:val="left"/>
            </w:pPr>
            <w:r>
              <w:t xml:space="preserve">1</w:t>
            </w:r>
          </w:p>
        </w:tc>
        <w:tc>
          <w:tcPr/>
          <w:p>
            <w:pPr>
              <w:pStyle w:val="Compact"/>
              <w:jc w:val="left"/>
            </w:pPr>
            <w:r>
              <w:t xml:space="preserve">Senior Academic Researcher – Literature Review &amp; Systematic Scoping (PhD-level, 10+ years experience)</w:t>
            </w:r>
          </w:p>
        </w:tc>
        <w:tc>
          <w:tcPr/>
          <w:p>
            <w:pPr>
              <w:pStyle w:val="Compact"/>
              <w:jc w:val="left"/>
            </w:pPr>
            <w:r>
              <w:t xml:space="preserve">6 weeks</w:t>
            </w:r>
          </w:p>
        </w:tc>
        <w:tc>
          <w:tcPr/>
          <w:p>
            <w:pPr>
              <w:pStyle w:val="Compact"/>
              <w:jc w:val="left"/>
            </w:pPr>
            <w:r>
              <w:t xml:space="preserve">4,500</w:t>
            </w:r>
          </w:p>
        </w:tc>
        <w:tc>
          <w:tcPr/>
          <w:p>
            <w:pPr>
              <w:pStyle w:val="Compact"/>
              <w:jc w:val="left"/>
            </w:pPr>
            <w:r>
              <w:t xml:space="preserve">1</w:t>
            </w:r>
          </w:p>
        </w:tc>
        <w:tc>
          <w:tcPr/>
          <w:p>
            <w:pPr>
              <w:pStyle w:val="Compact"/>
              <w:jc w:val="left"/>
            </w:pPr>
            <w:r>
              <w:t xml:space="preserve">27,000</w:t>
            </w:r>
          </w:p>
        </w:tc>
      </w:tr>
      <w:tr>
        <w:tc>
          <w:tcPr/>
          <w:p>
            <w:pPr>
              <w:pStyle w:val="Compact"/>
              <w:jc w:val="left"/>
            </w:pPr>
            <w:r>
              <w:t xml:space="preserve">2</w:t>
            </w:r>
          </w:p>
        </w:tc>
        <w:tc>
          <w:tcPr/>
          <w:p>
            <w:pPr>
              <w:pStyle w:val="Compact"/>
              <w:jc w:val="left"/>
            </w:pPr>
            <w:r>
              <w:t xml:space="preserve">Academic Researcher – Quantitative Data Collection &amp; Survey Design (MSc/PhD, 5+ years)</w:t>
            </w:r>
          </w:p>
        </w:tc>
        <w:tc>
          <w:tcPr/>
          <w:p>
            <w:pPr>
              <w:pStyle w:val="Compact"/>
              <w:jc w:val="left"/>
            </w:pPr>
            <w:r>
              <w:t xml:space="preserve">4 weeks</w:t>
            </w:r>
          </w:p>
        </w:tc>
        <w:tc>
          <w:tcPr/>
          <w:p>
            <w:pPr>
              <w:pStyle w:val="Compact"/>
              <w:jc w:val="left"/>
            </w:pPr>
            <w:r>
              <w:t xml:space="preserve">3,800</w:t>
            </w:r>
          </w:p>
        </w:tc>
        <w:tc>
          <w:tcPr/>
          <w:p>
            <w:pPr>
              <w:pStyle w:val="Compact"/>
              <w:jc w:val="left"/>
            </w:pPr>
            <w:r>
              <w:t xml:space="preserve">1</w:t>
            </w:r>
          </w:p>
        </w:tc>
        <w:tc>
          <w:tcPr/>
          <w:p>
            <w:pPr>
              <w:pStyle w:val="Compact"/>
              <w:jc w:val="left"/>
            </w:pPr>
            <w:r>
              <w:t xml:space="preserve">15,200</w:t>
            </w:r>
          </w:p>
        </w:tc>
      </w:tr>
      <w:tr>
        <w:tc>
          <w:tcPr/>
          <w:p>
            <w:pPr>
              <w:pStyle w:val="Compact"/>
              <w:jc w:val="left"/>
            </w:pPr>
            <w:r>
              <w:t xml:space="preserve">3</w:t>
            </w:r>
          </w:p>
        </w:tc>
        <w:tc>
          <w:tcPr/>
          <w:p>
            <w:pPr>
              <w:pStyle w:val="Compact"/>
              <w:jc w:val="left"/>
            </w:pPr>
            <w:r>
              <w:t xml:space="preserve">Academic Researcher – Qualitative Interviewing &amp; Thematic Analysis (Jeddah-based)</w:t>
            </w:r>
          </w:p>
        </w:tc>
        <w:tc>
          <w:tcPr/>
          <w:p>
            <w:pPr>
              <w:pStyle w:val="Compact"/>
              <w:jc w:val="left"/>
            </w:pPr>
            <w:r>
              <w:t xml:space="preserve">3 weeks</w:t>
            </w:r>
          </w:p>
        </w:tc>
        <w:tc>
          <w:tcPr/>
          <w:p>
            <w:pPr>
              <w:pStyle w:val="Compact"/>
              <w:jc w:val="left"/>
            </w:pPr>
            <w:r>
              <w:t xml:space="preserve">3,500</w:t>
            </w:r>
          </w:p>
        </w:tc>
        <w:tc>
          <w:tcPr/>
          <w:p>
            <w:pPr>
              <w:pStyle w:val="Compact"/>
              <w:jc w:val="left"/>
            </w:pPr>
            <w:r>
              <w:t xml:space="preserve">1</w:t>
            </w:r>
          </w:p>
        </w:tc>
        <w:tc>
          <w:tcPr/>
          <w:p>
            <w:pPr>
              <w:pStyle w:val="Compact"/>
              <w:jc w:val="left"/>
            </w:pPr>
            <w:r>
              <w:t xml:space="preserve">10,500</w:t>
            </w:r>
          </w:p>
        </w:tc>
      </w:tr>
      <w:tr>
        <w:tc>
          <w:tcPr/>
          <w:p>
            <w:pPr>
              <w:pStyle w:val="Compact"/>
              <w:jc w:val="left"/>
            </w:pPr>
            <w:r>
              <w:t xml:space="preserve">4</w:t>
            </w:r>
          </w:p>
        </w:tc>
        <w:tc>
          <w:tcPr/>
          <w:p>
            <w:pPr>
              <w:pStyle w:val="Compact"/>
              <w:jc w:val="left"/>
            </w:pPr>
            <w:r>
              <w:t xml:space="preserve">Statistical Analysis &amp; SPSS/R Programming Support</w:t>
            </w:r>
          </w:p>
        </w:tc>
        <w:tc>
          <w:tcPr/>
          <w:p>
            <w:pPr>
              <w:pStyle w:val="Compact"/>
              <w:jc w:val="left"/>
            </w:pPr>
            <w:r>
              <w:t xml:space="preserve">2 weeks</w:t>
            </w:r>
          </w:p>
        </w:tc>
        <w:tc>
          <w:tcPr/>
          <w:p>
            <w:pPr>
              <w:pStyle w:val="Compact"/>
              <w:jc w:val="left"/>
            </w:pPr>
            <w:r>
              <w:t xml:space="preserve">5,000</w:t>
            </w:r>
          </w:p>
        </w:tc>
        <w:tc>
          <w:tcPr/>
          <w:p>
            <w:pPr>
              <w:pStyle w:val="Compact"/>
              <w:jc w:val="left"/>
            </w:pPr>
            <w:r>
              <w:t xml:space="preserve">1</w:t>
            </w:r>
          </w:p>
        </w:tc>
        <w:tc>
          <w:tcPr/>
          <w:p>
            <w:pPr>
              <w:pStyle w:val="Compact"/>
              <w:jc w:val="left"/>
            </w:pPr>
            <w:r>
              <w:t xml:space="preserve">10,000</w:t>
            </w:r>
          </w:p>
        </w:tc>
      </w:tr>
      <w:tr>
        <w:tc>
          <w:tcPr/>
          <w:p>
            <w:pPr>
              <w:pStyle w:val="Compact"/>
              <w:jc w:val="left"/>
            </w:pPr>
            <w:r>
              <w:t xml:space="preserve">5</w:t>
            </w:r>
          </w:p>
        </w:tc>
        <w:tc>
          <w:tcPr/>
          <w:p>
            <w:pPr>
              <w:pStyle w:val="Compact"/>
              <w:jc w:val="left"/>
            </w:pPr>
            <w:r>
              <w:t xml:space="preserve">Manuscript Drafting, Editing &amp; Journal Submission Preparation (Q1/Q2 journals)</w:t>
            </w:r>
          </w:p>
        </w:tc>
        <w:tc>
          <w:tcPr/>
          <w:p>
            <w:pPr>
              <w:pStyle w:val="Compact"/>
              <w:jc w:val="left"/>
            </w:pPr>
            <w:r>
              <w:t xml:space="preserve">3 weeks</w:t>
            </w:r>
          </w:p>
        </w:tc>
        <w:tc>
          <w:tcPr/>
          <w:p>
            <w:pPr>
              <w:pStyle w:val="Compact"/>
              <w:jc w:val="left"/>
            </w:pPr>
            <w:r>
              <w:t xml:space="preserve">4,200</w:t>
            </w:r>
          </w:p>
        </w:tc>
        <w:tc>
          <w:tcPr/>
          <w:p>
            <w:pPr>
              <w:pStyle w:val="Compact"/>
              <w:jc w:val="left"/>
            </w:pPr>
            <w:r>
              <w:t xml:space="preserve">1</w:t>
            </w:r>
          </w:p>
        </w:tc>
        <w:tc>
          <w:tcPr/>
          <w:p>
            <w:pPr>
              <w:pStyle w:val="Compact"/>
              <w:jc w:val="left"/>
            </w:pPr>
            <w:r>
              <w:t xml:space="preserve">12,600</w:t>
            </w:r>
          </w:p>
        </w:tc>
      </w:tr>
      <w:tr>
        <w:tc>
          <w:tcPr/>
          <w:p>
            <w:pPr>
              <w:pStyle w:val="Compact"/>
              <w:jc w:val="left"/>
            </w:pPr>
            <w:r>
              <w:t xml:space="preserve">6</w:t>
            </w:r>
          </w:p>
        </w:tc>
        <w:tc>
          <w:tcPr/>
          <w:p>
            <w:pPr>
              <w:pStyle w:val="Compact"/>
              <w:jc w:val="left"/>
            </w:pPr>
            <w:r>
              <w:t xml:space="preserve">Research Ethics Committee (REC) Documentation &amp; Compliance Filing – Jeddah</w:t>
            </w:r>
          </w:p>
        </w:tc>
        <w:tc>
          <w:tcPr/>
          <w:p>
            <w:pPr>
              <w:pStyle w:val="Compact"/>
              <w:jc w:val="left"/>
            </w:pPr>
            <w:r>
              <w:t xml:space="preserve">1 week</w:t>
            </w:r>
          </w:p>
        </w:tc>
        <w:tc>
          <w:tcPr/>
          <w:p>
            <w:pPr>
              <w:pStyle w:val="Compact"/>
              <w:jc w:val="left"/>
            </w:pPr>
            <w:r>
              <w:t xml:space="preserve">2,500</w:t>
            </w:r>
          </w:p>
        </w:tc>
        <w:tc>
          <w:tcPr/>
          <w:p>
            <w:pPr>
              <w:pStyle w:val="Compact"/>
              <w:jc w:val="left"/>
            </w:pPr>
            <w:r>
              <w:t xml:space="preserve">1</w:t>
            </w:r>
          </w:p>
        </w:tc>
        <w:tc>
          <w:tcPr/>
          <w:p>
            <w:pPr>
              <w:pStyle w:val="Compact"/>
              <w:jc w:val="left"/>
            </w:pPr>
            <w:r>
              <w:t xml:space="preserve">2,500</w:t>
            </w:r>
          </w:p>
        </w:tc>
      </w:tr>
      <w:tr>
        <w:tc>
          <w:tcPr/>
          <w:p>
            <w:pPr>
              <w:pStyle w:val="Compact"/>
              <w:jc w:val="left"/>
            </w:pPr>
            <w:r>
              <w:t xml:space="preserve">7</w:t>
            </w:r>
          </w:p>
        </w:tc>
        <w:tc>
          <w:tcPr/>
          <w:p>
            <w:pPr>
              <w:pStyle w:val="Compact"/>
              <w:jc w:val="left"/>
            </w:pPr>
            <w:r>
              <w:t xml:space="preserve">Project Management, Weekly Progress Reporting &amp; Stakeholder Meetings</w:t>
            </w:r>
          </w:p>
        </w:tc>
        <w:tc>
          <w:tcPr/>
          <w:p>
            <w:pPr>
              <w:pStyle w:val="Compact"/>
              <w:jc w:val="left"/>
            </w:pPr>
            <w:r>
              <w:t xml:space="preserve">19 weeks</w:t>
            </w:r>
          </w:p>
        </w:tc>
        <w:tc>
          <w:tcPr/>
          <w:p>
            <w:pPr>
              <w:pStyle w:val="Compact"/>
              <w:jc w:val="left"/>
            </w:pPr>
            <w:r>
              <w:t xml:space="preserve">1,200</w:t>
            </w:r>
          </w:p>
        </w:tc>
        <w:tc>
          <w:tcPr/>
          <w:p>
            <w:pPr>
              <w:pStyle w:val="Compact"/>
              <w:jc w:val="left"/>
            </w:pPr>
            <w:r>
              <w:t xml:space="preserve">1</w:t>
            </w:r>
          </w:p>
        </w:tc>
        <w:tc>
          <w:tcPr/>
          <w:p>
            <w:pPr>
              <w:pStyle w:val="Compact"/>
              <w:jc w:val="left"/>
            </w:pPr>
            <w:r>
              <w:t xml:space="preserve">22,800</w:t>
            </w:r>
          </w:p>
        </w:tc>
      </w:tr>
      <w:tr>
        <w:tc>
          <w:tcPr/>
          <w:p>
            <w:pPr>
              <w:pStyle w:val="Compact"/>
              <w:jc w:val="left"/>
            </w:pPr>
            <w:r>
              <w:t xml:space="preserve">8</w:t>
            </w:r>
          </w:p>
        </w:tc>
        <w:tc>
          <w:tcPr/>
          <w:p>
            <w:pPr>
              <w:pStyle w:val="Compact"/>
              <w:jc w:val="left"/>
            </w:pPr>
            <w:r>
              <w:t xml:space="preserve">Travel &amp; Local Transportation within Jeddah (fieldwork, institutional visits)</w:t>
            </w:r>
          </w:p>
        </w:tc>
        <w:tc>
          <w:tcPr/>
          <w:p>
            <w:pPr>
              <w:pStyle w:val="Compact"/>
              <w:jc w:val="left"/>
            </w:pPr>
            <w:r>
              <w:t xml:space="preserve">19 weeks</w:t>
            </w:r>
          </w:p>
        </w:tc>
        <w:tc>
          <w:tcPr/>
          <w:p>
            <w:pPr>
              <w:pStyle w:val="Compact"/>
              <w:jc w:val="left"/>
            </w:pPr>
            <w:r>
              <w:t xml:space="preserve">800</w:t>
            </w:r>
          </w:p>
        </w:tc>
        <w:tc>
          <w:tcPr/>
          <w:p>
            <w:pPr>
              <w:pStyle w:val="Compact"/>
              <w:jc w:val="left"/>
            </w:pPr>
            <w:r>
              <w:t xml:space="preserve">1</w:t>
            </w:r>
          </w:p>
        </w:tc>
        <w:tc>
          <w:tcPr/>
          <w:p>
            <w:pPr>
              <w:pStyle w:val="Compact"/>
              <w:jc w:val="left"/>
            </w:pPr>
            <w:r>
              <w:t xml:space="preserve">15,200</w:t>
            </w:r>
          </w:p>
        </w:tc>
      </w:tr>
      <w:tr>
        <w:tc>
          <w:tcPr/>
          <w:p>
            <w:pPr>
              <w:pStyle w:val="Compact"/>
              <w:jc w:val="left"/>
            </w:pPr>
            <w:r>
              <w:t xml:space="preserve">9</w:t>
            </w:r>
          </w:p>
        </w:tc>
        <w:tc>
          <w:tcPr/>
          <w:p>
            <w:pPr>
              <w:pStyle w:val="Compact"/>
              <w:jc w:val="left"/>
            </w:pPr>
            <w:r>
              <w:t xml:space="preserve">Access to Databases (Scopus, Web of Science, PubMed) &amp; Software Licenses</w:t>
            </w:r>
          </w:p>
        </w:tc>
        <w:tc>
          <w:tcPr/>
          <w:p>
            <w:pPr>
              <w:pStyle w:val="Compact"/>
              <w:jc w:val="left"/>
            </w:pPr>
            <w:r>
              <w:t xml:space="preserve">19 weeks</w:t>
            </w:r>
          </w:p>
        </w:tc>
        <w:tc>
          <w:tcPr/>
          <w:p>
            <w:pPr>
              <w:pStyle w:val="Compact"/>
              <w:jc w:val="left"/>
            </w:pPr>
            <w:r>
              <w:t xml:space="preserve">1,500</w:t>
            </w:r>
          </w:p>
        </w:tc>
        <w:tc>
          <w:tcPr/>
          <w:p>
            <w:pPr>
              <w:pStyle w:val="Compact"/>
              <w:jc w:val="left"/>
            </w:pPr>
            <w:r>
              <w:t xml:space="preserve">1</w:t>
            </w:r>
          </w:p>
        </w:tc>
        <w:tc>
          <w:tcPr/>
          <w:p>
            <w:pPr>
              <w:pStyle w:val="Compact"/>
              <w:jc w:val="left"/>
            </w:pPr>
            <w:r>
              <w:t xml:space="preserve">28,500</w:t>
            </w:r>
          </w:p>
        </w:tc>
      </w:tr>
      <w:tr>
        <w:tc>
          <w:tcPr/>
          <w:p>
            <w:pPr>
              <w:pStyle w:val="Compact"/>
              <w:jc w:val="left"/>
            </w:pPr>
            <w:r>
              <w:t xml:space="preserve">10</w:t>
            </w:r>
          </w:p>
        </w:tc>
        <w:tc>
          <w:tcPr/>
          <w:p>
            <w:pPr>
              <w:pStyle w:val="Compact"/>
              <w:jc w:val="left"/>
            </w:pPr>
            <w:r>
              <w:t xml:space="preserve">Contingency &amp; Miscellaneous (5%)</w:t>
            </w:r>
          </w:p>
        </w:tc>
        <w:tc>
          <w:tcPr/>
          <w:p>
            <w:pPr>
              <w:pStyle w:val="Compact"/>
              <w:jc w:val="left"/>
            </w:pPr>
            <w:r>
              <w:t xml:space="preserve">—</w:t>
            </w:r>
          </w:p>
        </w:tc>
        <w:tc>
          <w:tcPr/>
          <w:p>
            <w:pPr>
              <w:pStyle w:val="Compact"/>
              <w:jc w:val="left"/>
            </w:pPr>
            <w:r>
              <w:t xml:space="preserve">—</w:t>
            </w:r>
          </w:p>
        </w:tc>
        <w:tc>
          <w:tcPr/>
          <w:p>
            <w:pPr>
              <w:pStyle w:val="Compact"/>
              <w:jc w:val="left"/>
            </w:pPr>
            <w:r>
              <w:t xml:space="preserve">1</w:t>
            </w:r>
          </w:p>
        </w:tc>
        <w:tc>
          <w:tcPr/>
          <w:p>
            <w:pPr>
              <w:pStyle w:val="Compact"/>
              <w:jc w:val="left"/>
            </w:pPr>
            <w:r>
              <w:t xml:space="preserve">14,400</w:t>
            </w:r>
          </w:p>
        </w:tc>
      </w:tr>
      <w:tr>
        <w:tc>
          <w:tcPr>
            <w:gridSpan w:val="5"/>
          </w:tcPr>
          <w:p>
            <w:pPr>
              <w:pStyle w:val="Compact"/>
              <w:jc w:val="right"/>
            </w:pPr>
            <w:r>
              <w:t xml:space="preserve">Subtotal (SAR)</w:t>
            </w:r>
          </w:p>
        </w:tc>
        <w:tc>
          <w:tcPr/>
          <w:p>
            <w:pPr>
              <w:pStyle w:val="Compact"/>
              <w:jc w:val="left"/>
            </w:pPr>
            <w:r>
              <w:t xml:space="preserve">158,700</w:t>
            </w:r>
          </w:p>
        </w:tc>
      </w:tr>
      <w:tr>
        <w:tc>
          <w:tcPr>
            <w:gridSpan w:val="5"/>
          </w:tcPr>
          <w:p>
            <w:pPr>
              <w:pStyle w:val="Compact"/>
              <w:jc w:val="right"/>
            </w:pPr>
            <w:r>
              <w:t xml:space="preserve">VAT @ 15% (Saudi Arabia)</w:t>
            </w:r>
          </w:p>
        </w:tc>
        <w:tc>
          <w:tcPr/>
          <w:p>
            <w:pPr>
              <w:pStyle w:val="Compact"/>
              <w:jc w:val="left"/>
            </w:pPr>
            <w:r>
              <w:t xml:space="preserve">23,805</w:t>
            </w:r>
          </w:p>
        </w:tc>
      </w:tr>
      <w:tr>
        <w:tc>
          <w:tcPr>
            <w:gridSpan w:val="5"/>
          </w:tcPr>
          <w:p>
            <w:pPr>
              <w:pStyle w:val="Compact"/>
              <w:jc w:val="right"/>
            </w:pPr>
            <w:r>
              <w:t xml:space="preserve">TOTAL AMOUNT DUE (SAR)</w:t>
            </w:r>
          </w:p>
        </w:tc>
        <w:tc>
          <w:tcPr/>
          <w:p>
            <w:pPr>
              <w:pStyle w:val="Compact"/>
              <w:jc w:val="left"/>
            </w:pPr>
            <w:r>
              <w:t xml:space="preserve">182,505</w:t>
            </w:r>
          </w:p>
        </w:tc>
      </w:tr>
    </w:tbl>
    <w:p>
      <w:pPr>
        <w:pStyle w:val="BodyText"/>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request for services beyond this validity period will require a revised quotation reflecting current market rates for</w:t>
      </w:r>
      <w:r>
        <w:t xml:space="preserve"> </w:t>
      </w:r>
      <w:r>
        <w:t xml:space="preserve">Academic Researcher</w:t>
      </w:r>
      <w:r>
        <w:t xml:space="preserve"> </w:t>
      </w:r>
      <w:r>
        <w:t xml:space="preserve">professionals in</w:t>
      </w:r>
      <w:r>
        <w:t xml:space="preserve"> </w:t>
      </w:r>
      <w:r>
        <w:t xml:space="preserve">Saudi Arabia Jeddah</w:t>
      </w:r>
      <w:r>
        <w:t xml:space="preserve">.</w:t>
      </w:r>
    </w:p>
    <w:p>
      <w:pPr>
        <w:numPr>
          <w:ilvl w:val="0"/>
          <w:numId w:val="1001"/>
        </w:numPr>
        <w:pStyle w:val="Compact"/>
      </w:pPr>
      <w:r>
        <w:t xml:space="preserve">Payment terms: 40% advance upon acceptance of this quotation, 30% upon completion of the mid-project milestone (week 10), and 30% upon final delivery and acceptance of all research deliverables.</w:t>
      </w:r>
    </w:p>
    <w:p>
      <w:pPr>
        <w:numPr>
          <w:ilvl w:val="0"/>
          <w:numId w:val="1001"/>
        </w:numPr>
        <w:pStyle w:val="Compact"/>
      </w:pPr>
      <w:r>
        <w:t xml:space="preserve">All payments shall be made in Saudi Riyals (SAR) via bank transfer to the account designated by ScholarBridge Research Consultancy. Invoices will be issued in accordance with ZATCA (Zakat, Tax and Customs Authority) e-invoicing requirements.</w:t>
      </w:r>
    </w:p>
    <w:p>
      <w:pPr>
        <w:numPr>
          <w:ilvl w:val="0"/>
          <w:numId w:val="1001"/>
        </w:numPr>
        <w:pStyle w:val="Compact"/>
      </w:pPr>
      <w:r>
        <w:t xml:space="preserve">The</w:t>
      </w:r>
      <w:r>
        <w:t xml:space="preserve"> </w:t>
      </w:r>
      <w:r>
        <w:t xml:space="preserve">Academic Researcher</w:t>
      </w:r>
      <w:r>
        <w:t xml:space="preserve"> </w:t>
      </w:r>
      <w:r>
        <w:t xml:space="preserve">assigned to this project will operate under a non-disclosure agreement (NDA) and intellectual property (IP) transfer clause ensuring that all research outputs, data sets, and publications belong exclusively to the client institution.</w:t>
      </w:r>
    </w:p>
    <w:p>
      <w:pPr>
        <w:numPr>
          <w:ilvl w:val="0"/>
          <w:numId w:val="1001"/>
        </w:numPr>
        <w:pStyle w:val="Compact"/>
      </w:pPr>
      <w:r>
        <w:t xml:space="preserve">Any changes to the scope of work, additional research objectives, or extended timelines must be documented in a formal Change Order signed by both parties. Adjustments to the</w:t>
      </w:r>
      <w:r>
        <w:t xml:space="preserve"> </w:t>
      </w:r>
      <w:r>
        <w:t xml:space="preserve">Quotation Estimate</w:t>
      </w:r>
      <w:r>
        <w:t xml:space="preserve"> </w:t>
      </w:r>
      <w:r>
        <w:t xml:space="preserve">will be applied proportionally.</w:t>
      </w:r>
    </w:p>
    <w:p>
      <w:pPr>
        <w:numPr>
          <w:ilvl w:val="0"/>
          <w:numId w:val="1001"/>
        </w:numPr>
        <w:pStyle w:val="Compact"/>
      </w:pPr>
      <w:r>
        <w:t xml:space="preserve">The</w:t>
      </w:r>
      <w:r>
        <w:t xml:space="preserve"> </w:t>
      </w:r>
      <w:r>
        <w:t xml:space="preserve">Academic Researcher</w:t>
      </w:r>
      <w:r>
        <w:t xml:space="preserve"> </w:t>
      </w:r>
      <w:r>
        <w:t xml:space="preserve">will conduct all fieldwork, interviews, and institutional visits within the boundaries of</w:t>
      </w:r>
      <w:r>
        <w:t xml:space="preserve"> </w:t>
      </w:r>
      <w:r>
        <w:t xml:space="preserve">Saudi Arabia Jeddah</w:t>
      </w:r>
      <w:r>
        <w:t xml:space="preserve"> </w:t>
      </w:r>
      <w:r>
        <w:t xml:space="preserve">unless prior written approval is obtained for travel to other regions of the Kingdom.</w:t>
      </w:r>
    </w:p>
    <w:p>
      <w:pPr>
        <w:numPr>
          <w:ilvl w:val="0"/>
          <w:numId w:val="1001"/>
        </w:numPr>
        <w:pStyle w:val="Compact"/>
      </w:pPr>
      <w:r>
        <w:t xml:space="preserve">Deliverables will be submitted in both Arabic and English where applicable, in compliance with the Saudi government's language policies for academic and institutional documentation.</w:t>
      </w:r>
    </w:p>
    <w:p>
      <w:pPr>
        <w:numPr>
          <w:ilvl w:val="0"/>
          <w:numId w:val="1001"/>
        </w:numPr>
        <w:pStyle w:val="Compact"/>
      </w:pPr>
      <w:r>
        <w:t xml:space="preserve">Disputes arising from this engagement shall be resolved through arbitration in Jeddah, Saudi Arabia, in accordance with the Saudi Arbitration Center (SAARC) rules.</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countersigned by both parties and the advance payment has been received in full.</w:t>
      </w:r>
    </w:p>
    <w:p>
      <w:pPr>
        <w:pStyle w:val="FirstParagraph"/>
      </w:pPr>
      <w:r>
        <w:t xml:space="preserve">4. Deliverables and Timeline Summary</w:t>
      </w:r>
    </w:p>
    <w:p>
      <w:pPr>
        <w:pStyle w:val="BodyText"/>
      </w:pPr>
      <w:r>
        <w:t xml:space="preserve">The complete engagement of the</w:t>
      </w:r>
      <w:r>
        <w:t xml:space="preserve"> </w:t>
      </w:r>
      <w:r>
        <w:t xml:space="preserve">Academic Researcher</w:t>
      </w:r>
      <w:r>
        <w:t xml:space="preserve"> </w:t>
      </w:r>
      <w:r>
        <w:t xml:space="preserve">team is projected to span approximately nineteen (19) weeks from the commencement date. Key milestones include: completion of the systematic literature review by Week 6, finalization of the data collection instrument by Week 10, completion of all fieldwork and data gathering by Week 14, and delivery of the final manuscript ready for journal submission by Week 19. All milestones will be tracked through bi-weekly progress reports submitted to the designated contact at the University of Jeddah.</w:t>
      </w:r>
    </w:p>
    <w:p>
      <w:pPr>
        <w:pStyle w:val="BodyText"/>
      </w:pPr>
      <w:r>
        <w:t xml:space="preserve">5.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authorizes ScholarBridge Research Consultancy to proceed with the engagement of the specified</w:t>
      </w:r>
      <w:r>
        <w:t xml:space="preserve"> </w:t>
      </w:r>
      <w:r>
        <w:t xml:space="preserve">Academic Researcher</w:t>
      </w:r>
      <w:r>
        <w:t xml:space="preserve"> </w:t>
      </w:r>
      <w:r>
        <w:t xml:space="preserve">personnel for the delivery of research services in</w:t>
      </w:r>
      <w:r>
        <w:t xml:space="preserve"> </w:t>
      </w:r>
      <w:r>
        <w:t xml:space="preserve">Saudi Arabia Jeddah</w:t>
      </w:r>
      <w:r>
        <w:t xml:space="preserve"> </w:t>
      </w:r>
      <w:r>
        <w:t xml:space="preserve">under the terms and conditions stated herein.</w:t>
      </w:r>
    </w:p>
    <w:p>
      <w:pPr>
        <w:pStyle w:val="BodyText"/>
      </w:pPr>
      <w:r>
        <w:rPr>
          <w:bCs/>
          <w:b/>
        </w:rPr>
        <w:t xml:space="preserve">For ScholarBridge Research Consultancy</w:t>
      </w:r>
    </w:p>
    <w:p>
      <w:pPr>
        <w:pStyle w:val="BodyText"/>
      </w:pPr>
      <w:r>
        <w:t xml:space="preserve">Name: Dr. Khalid Al-Otaibi</w:t>
      </w:r>
    </w:p>
    <w:p>
      <w:pPr>
        <w:pStyle w:val="BodyText"/>
      </w:pPr>
      <w:r>
        <w:t xml:space="preserve">Title: Managing Director</w:t>
      </w:r>
    </w:p>
    <w:p>
      <w:pPr>
        <w:pStyle w:val="BodyText"/>
      </w:pPr>
      <w:r>
        <w:t xml:space="preserve">Date: _______________</w:t>
      </w:r>
    </w:p>
    <w:p>
      <w:pPr>
        <w:pStyle w:val="BodyText"/>
      </w:pPr>
      <w:r>
        <w:t xml:space="preserve">Signature &amp; Stamp:</w:t>
      </w:r>
    </w:p>
    <w:p>
      <w:pPr>
        <w:pStyle w:val="BodyText"/>
      </w:pPr>
      <w:r>
        <w:rPr>
          <w:bCs/>
          <w:b/>
        </w:rPr>
        <w:t xml:space="preserve">For the Client (University of Jeddah)</w:t>
      </w:r>
    </w:p>
    <w:p>
      <w:pPr>
        <w:pStyle w:val="BodyText"/>
      </w:pPr>
      <w:r>
        <w:t xml:space="preserve">Name: Prof. Sarah Al-Harbi</w:t>
      </w:r>
    </w:p>
    <w:p>
      <w:pPr>
        <w:pStyle w:val="BodyText"/>
      </w:pPr>
      <w:r>
        <w:t xml:space="preserve">Title: Dean, Faculty of Sciences</w:t>
      </w:r>
    </w:p>
    <w:p>
      <w:pPr>
        <w:pStyle w:val="BodyText"/>
      </w:pPr>
      <w:r>
        <w:t xml:space="preserve">Date: _______________</w:t>
      </w:r>
    </w:p>
    <w:p>
      <w:pPr>
        <w:pStyle w:val="BodyText"/>
      </w:pPr>
      <w:r>
        <w:t xml:space="preserve">Signature &amp; Stamp:</w:t>
      </w:r>
    </w:p>
    <w:p>
      <w:pPr>
        <w:pStyle w:val="BodyText"/>
      </w:pPr>
      <w:r>
        <w:t xml:space="preserve">ScholarBridge Research Consultancy | CR: 1010XXXXXX | Jeddah, Saudi Arabia</w:t>
      </w:r>
    </w:p>
    <w:p>
      <w:pPr>
        <w:pStyle w:val="BodyText"/>
      </w:pPr>
      <w:r>
        <w:t xml:space="preserve">This Quotation Estimate (Ref: QTE-JED-2025-0487) is the property of ScholarBridge Research Consultancy and is issued solely for the purpose of the stated engagement. Unauthorized reproduction or distribution is prohibited.</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Academic Researcher Services - Saudi Arabia Jeddah</dc:title>
  <dc:creator/>
  <dc:language>en</dc:language>
  <cp:keywords/>
  <dcterms:created xsi:type="dcterms:W3CDTF">2026-10-10T09:18:56Z</dcterms:created>
  <dcterms:modified xsi:type="dcterms:W3CDTF">2026-10-10T09:18:56Z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