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Academic Researcher Services — Spain Valencia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QTE-VAL-2025-0047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August 2025 (60 calendar days)</w:t>
            </w:r>
          </w:p>
        </w:tc>
      </w:tr>
      <w:tr>
        <w:tc>
          <w:tcPr/>
          <w:p>
            <w:pPr>
              <w:pStyle w:val="Compact"/>
              <w:jc w:val="left"/>
            </w:pPr>
            <w:r>
              <w:t xml:space="preserve">Prepared By:</w:t>
            </w:r>
          </w:p>
        </w:tc>
        <w:tc>
          <w:tcPr/>
          <w:p>
            <w:pPr>
              <w:pStyle w:val="Compact"/>
              <w:jc w:val="left"/>
            </w:pPr>
            <w:r>
              <w:t xml:space="preserve">Dr. Elena Marchetti, Lead Academic Researcher — Instituto de Investigaciones Académicas del Mediterráneo, C/ Colón 12, 46004 Valencia, Spain</w:t>
            </w:r>
          </w:p>
        </w:tc>
      </w:tr>
      <w:tr>
        <w:tc>
          <w:tcPr/>
          <w:p>
            <w:pPr>
              <w:pStyle w:val="Compact"/>
              <w:jc w:val="left"/>
            </w:pPr>
            <w:r>
              <w:t xml:space="preserve">Prepared For:</w:t>
            </w:r>
          </w:p>
        </w:tc>
        <w:tc>
          <w:tcPr/>
          <w:p>
            <w:pPr>
              <w:pStyle w:val="Compact"/>
              <w:jc w:val="left"/>
            </w:pPr>
            <w:r>
              <w:t xml:space="preserve">Universidad Politécnica de Valencia — Departamento de Ciencias Sociales, Av. de los Naranjos s/n, 46022 Valencia, Spain</w:t>
            </w:r>
          </w:p>
        </w:tc>
      </w:tr>
      <w:tr>
        <w:tc>
          <w:tcPr/>
          <w:p>
            <w:pPr>
              <w:pStyle w:val="Compact"/>
              <w:jc w:val="left"/>
            </w:pPr>
            <w:r>
              <w:t xml:space="preserve">Contact Person:</w:t>
            </w:r>
          </w:p>
        </w:tc>
        <w:tc>
          <w:tcPr/>
          <w:p>
            <w:pPr>
              <w:pStyle w:val="Compact"/>
              <w:jc w:val="left"/>
            </w:pPr>
            <w:r>
              <w:t xml:space="preserve">Prof. José Antonio Ferrer, Director of Research</w:t>
            </w:r>
          </w:p>
        </w:tc>
      </w:tr>
    </w:tbl>
    <w:bookmarkStart w:id="21" w:name="X57339a65c0ba987ace70f7a754b21ce8e285346"/>
    <w:p>
      <w:pPr>
        <w:pStyle w:val="Heading2"/>
      </w:pPr>
      <w:r>
        <w:t xml:space="preserve">1. Scope of Work — Academic Researcher Engagement in Spain Valencia</w:t>
      </w:r>
    </w:p>
    <w:p>
      <w:pPr>
        <w:pStyle w:val="FirstParagraph"/>
      </w:pPr>
      <w:r>
        <w:t xml:space="preserve">This</w:t>
      </w:r>
      <w:r>
        <w:t xml:space="preserve"> </w:t>
      </w:r>
      <w:r>
        <w:t xml:space="preserve">Quotation Estimate</w:t>
      </w:r>
      <w:r>
        <w:t xml:space="preserve"> </w:t>
      </w:r>
      <w:r>
        <w:t xml:space="preserve">is issued in response to the formal request submitted by the Universidad Politécnica de Valencia for the engagement of a qualified</w:t>
      </w:r>
      <w:r>
        <w:t xml:space="preserve"> </w:t>
      </w:r>
      <w:r>
        <w:t xml:space="preserve">Academic Researcher</w:t>
      </w:r>
      <w:r>
        <w:t xml:space="preserve"> </w:t>
      </w:r>
      <w:r>
        <w:t xml:space="preserve">to conduct a comprehensive multi-disciplinary study within the region of</w:t>
      </w:r>
      <w:r>
        <w:t xml:space="preserve"> </w:t>
      </w:r>
      <w:r>
        <w:t xml:space="preserve">Spain Valencia</w:t>
      </w:r>
      <w:r>
        <w:t xml:space="preserve">. The proposed engagement covers a twelve-month research period commencing on 1 September 2025 and concluding on 31 August 2026. The</w:t>
      </w:r>
      <w:r>
        <w:t xml:space="preserve"> </w:t>
      </w:r>
      <w:r>
        <w:t xml:space="preserve">Academic Researcher</w:t>
      </w:r>
      <w:r>
        <w:t xml:space="preserve"> </w:t>
      </w:r>
      <w:r>
        <w:t xml:space="preserve">will be based at the Instituto de Investigaciones Académicas del Mediterráneo in central Valencia and will coordinate all fieldwork, data collection, and analytical activities within the Valencia metropolitan area and the broader Comunitat Valenciana.</w:t>
      </w:r>
    </w:p>
    <w:p>
      <w:pPr>
        <w:pStyle w:val="BodyText"/>
      </w:pPr>
      <w:r>
        <w:t xml:space="preserve">The primary objective of this</w:t>
      </w:r>
      <w:r>
        <w:t xml:space="preserve"> </w:t>
      </w:r>
      <w:r>
        <w:t xml:space="preserve">Academic Researcher</w:t>
      </w:r>
      <w:r>
        <w:t xml:space="preserve"> </w:t>
      </w:r>
      <w:r>
        <w:t xml:space="preserve">assignment is to produce a peer-reviewed monograph examining the socio-economic transformation of urban communities in</w:t>
      </w:r>
      <w:r>
        <w:t xml:space="preserve"> </w:t>
      </w:r>
      <w:r>
        <w:t xml:space="preserve">Spain Valencia</w:t>
      </w:r>
      <w:r>
        <w:t xml:space="preserve"> </w:t>
      </w:r>
      <w:r>
        <w:t xml:space="preserve">over the past two decades, with particular emphasis on the impact of digitalisation, tourism infrastructure development, and post-pandemic recovery patterns. The</w:t>
      </w:r>
      <w:r>
        <w:t xml:space="preserve"> </w:t>
      </w:r>
      <w:r>
        <w:t xml:space="preserve">Quotation Estimate</w:t>
      </w:r>
      <w:r>
        <w:t xml:space="preserve"> </w:t>
      </w:r>
      <w:r>
        <w:t xml:space="preserve">below itemises all professional fees, travel, materials, and ancillary costs associated with delivering this research programme to the highest academic standards expected in the</w:t>
      </w:r>
      <w:r>
        <w:t xml:space="preserve"> </w:t>
      </w:r>
      <w:r>
        <w:t xml:space="preserve">Spain Valencia</w:t>
      </w:r>
      <w:r>
        <w:t xml:space="preserve"> </w:t>
      </w:r>
      <w:r>
        <w:t xml:space="preserve">scholarly community.</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Principal Academic Researcher professional fees — full-time engagement, literature review, theoretical framework development, and methodology design for the</w:t>
            </w:r>
            <w:r>
              <w:t xml:space="preserve"> </w:t>
            </w:r>
            <w:r>
              <w:t xml:space="preserve">Spain Valencia</w:t>
            </w:r>
            <w:r>
              <w:t xml:space="preserve"> </w:t>
            </w:r>
            <w:r>
              <w:t xml:space="preserve">urban study</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Incl. 21% IVA</w:t>
            </w:r>
          </w:p>
        </w:tc>
      </w:tr>
      <w:tr>
        <w:tc>
          <w:tcPr/>
          <w:p>
            <w:pPr>
              <w:pStyle w:val="Compact"/>
              <w:jc w:val="left"/>
            </w:pPr>
            <w:r>
              <w:t xml:space="preserve">02</w:t>
            </w:r>
          </w:p>
        </w:tc>
        <w:tc>
          <w:tcPr/>
          <w:p>
            <w:pPr>
              <w:pStyle w:val="Compact"/>
              <w:jc w:val="left"/>
            </w:pPr>
            <w:r>
              <w:t xml:space="preserve">Fieldwork and qualitative data collection — semi-structured interviews (minimum 80 participants) conducted across Valencia, Paterna, Mislata, and Torrent municipalities in</w:t>
            </w:r>
            <w:r>
              <w:t xml:space="preserve"> </w:t>
            </w:r>
            <w:r>
              <w:t xml:space="preserve">Spain Valencia</w:t>
            </w:r>
          </w:p>
        </w:tc>
        <w:tc>
          <w:tcPr/>
          <w:p>
            <w:pPr>
              <w:pStyle w:val="Compact"/>
              <w:jc w:val="left"/>
            </w:pPr>
            <w:r>
              <w:t xml:space="preserve">4 months</w:t>
            </w:r>
          </w:p>
        </w:tc>
        <w:tc>
          <w:tcPr/>
          <w:p>
            <w:pPr>
              <w:pStyle w:val="Compact"/>
              <w:jc w:val="left"/>
            </w:pPr>
            <w:r>
              <w:t xml:space="preserve">3,800 / month</w:t>
            </w:r>
          </w:p>
        </w:tc>
        <w:tc>
          <w:tcPr/>
          <w:p>
            <w:pPr>
              <w:pStyle w:val="Compact"/>
              <w:jc w:val="left"/>
            </w:pPr>
            <w:r>
              <w:t xml:space="preserve">15,200.00</w:t>
            </w:r>
          </w:p>
        </w:tc>
        <w:tc>
          <w:tcPr/>
          <w:p>
            <w:pPr>
              <w:pStyle w:val="Compact"/>
              <w:jc w:val="left"/>
            </w:pPr>
            <w:r>
              <w:t xml:space="preserve">Incl. 21% IVA</w:t>
            </w:r>
          </w:p>
        </w:tc>
      </w:tr>
      <w:tr>
        <w:tc>
          <w:tcPr/>
          <w:p>
            <w:pPr>
              <w:pStyle w:val="Compact"/>
              <w:jc w:val="left"/>
            </w:pPr>
            <w:r>
              <w:t xml:space="preserve">03</w:t>
            </w:r>
          </w:p>
        </w:tc>
        <w:tc>
          <w:tcPr/>
          <w:p>
            <w:pPr>
              <w:pStyle w:val="Compact"/>
              <w:jc w:val="left"/>
            </w:pPr>
            <w:r>
              <w:t xml:space="preserve">Quantitative survey design, deployment, and statistical analysis — online and in-person survey targeting 1,500 respondents in the</w:t>
            </w:r>
            <w:r>
              <w:t xml:space="preserve"> </w:t>
            </w:r>
            <w:r>
              <w:t xml:space="preserve">Spain Valencia</w:t>
            </w:r>
            <w:r>
              <w:t xml:space="preserve"> </w:t>
            </w:r>
            <w:r>
              <w:t xml:space="preserve">metropolitan area</w:t>
            </w:r>
          </w:p>
        </w:tc>
        <w:tc>
          <w:tcPr/>
          <w:p>
            <w:pPr>
              <w:pStyle w:val="Compact"/>
              <w:jc w:val="left"/>
            </w:pPr>
            <w:r>
              <w:t xml:space="preserve">3 months</w:t>
            </w:r>
          </w:p>
        </w:tc>
        <w:tc>
          <w:tcPr/>
          <w:p>
            <w:pPr>
              <w:pStyle w:val="Compact"/>
              <w:jc w:val="left"/>
            </w:pPr>
            <w:r>
              <w:t xml:space="preserve">2,900 / month</w:t>
            </w:r>
          </w:p>
        </w:tc>
        <w:tc>
          <w:tcPr/>
          <w:p>
            <w:pPr>
              <w:pStyle w:val="Compact"/>
              <w:jc w:val="left"/>
            </w:pPr>
            <w:r>
              <w:t xml:space="preserve">8,700.00</w:t>
            </w:r>
          </w:p>
        </w:tc>
        <w:tc>
          <w:tcPr/>
          <w:p>
            <w:pPr>
              <w:pStyle w:val="Compact"/>
              <w:jc w:val="left"/>
            </w:pPr>
            <w:r>
              <w:t xml:space="preserve">Incl. 21% IVA</w:t>
            </w:r>
          </w:p>
        </w:tc>
      </w:tr>
      <w:tr>
        <w:tc>
          <w:tcPr/>
          <w:p>
            <w:pPr>
              <w:pStyle w:val="Compact"/>
              <w:jc w:val="left"/>
            </w:pPr>
            <w:r>
              <w:t xml:space="preserve">04</w:t>
            </w:r>
          </w:p>
        </w:tc>
        <w:tc>
          <w:tcPr/>
          <w:p>
            <w:pPr>
              <w:pStyle w:val="Compact"/>
              <w:jc w:val="left"/>
            </w:pPr>
            <w:r>
              <w:t xml:space="preserve">Academic writing, manuscript preparation, and peer-review revision — production of a 250-page monograph and three journal articles for submission to Q1-indexed publications</w:t>
            </w:r>
          </w:p>
        </w:tc>
        <w:tc>
          <w:tcPr/>
          <w:p>
            <w:pPr>
              <w:pStyle w:val="Compact"/>
              <w:jc w:val="left"/>
            </w:pPr>
            <w:r>
              <w:t xml:space="preserve">5 months</w:t>
            </w:r>
          </w:p>
        </w:tc>
        <w:tc>
          <w:tcPr/>
          <w:p>
            <w:pPr>
              <w:pStyle w:val="Compact"/>
              <w:jc w:val="left"/>
            </w:pPr>
            <w:r>
              <w:t xml:space="preserve">3,500 / month</w:t>
            </w:r>
          </w:p>
        </w:tc>
        <w:tc>
          <w:tcPr/>
          <w:p>
            <w:pPr>
              <w:pStyle w:val="Compact"/>
              <w:jc w:val="left"/>
            </w:pPr>
            <w:r>
              <w:t xml:space="preserve">17,500.00</w:t>
            </w:r>
          </w:p>
        </w:tc>
        <w:tc>
          <w:tcPr/>
          <w:p>
            <w:pPr>
              <w:pStyle w:val="Compact"/>
              <w:jc w:val="left"/>
            </w:pPr>
            <w:r>
              <w:t xml:space="preserve">Incl. 21% IVA</w:t>
            </w:r>
          </w:p>
        </w:tc>
      </w:tr>
      <w:tr>
        <w:tc>
          <w:tcPr/>
          <w:p>
            <w:pPr>
              <w:pStyle w:val="Compact"/>
              <w:jc w:val="left"/>
            </w:pPr>
            <w:r>
              <w:t xml:space="preserve">05</w:t>
            </w:r>
          </w:p>
        </w:tc>
        <w:tc>
          <w:tcPr/>
          <w:p>
            <w:pPr>
              <w:pStyle w:val="Compact"/>
              <w:jc w:val="left"/>
            </w:pPr>
            <w:r>
              <w:t xml:space="preserve">Local travel and transportation within</w:t>
            </w:r>
            <w:r>
              <w:t xml:space="preserve"> </w:t>
            </w:r>
            <w:r>
              <w:t xml:space="preserve">Spain Valencia</w:t>
            </w:r>
            <w:r>
              <w:t xml:space="preserve"> </w:t>
            </w:r>
            <w:r>
              <w:t xml:space="preserve">— commuting to interview sites, municipal archives, and partner institutions; includes public transport and fuel costs</w:t>
            </w:r>
          </w:p>
        </w:tc>
        <w:tc>
          <w:tcPr/>
          <w:p>
            <w:pPr>
              <w:pStyle w:val="Compact"/>
              <w:jc w:val="left"/>
            </w:pPr>
            <w:r>
              <w:t xml:space="preserve">12 months</w:t>
            </w:r>
          </w:p>
        </w:tc>
        <w:tc>
          <w:tcPr/>
          <w:p>
            <w:pPr>
              <w:pStyle w:val="Compact"/>
              <w:jc w:val="left"/>
            </w:pPr>
            <w:r>
              <w:t xml:space="preserve">450 / month</w:t>
            </w:r>
          </w:p>
        </w:tc>
        <w:tc>
          <w:tcPr/>
          <w:p>
            <w:pPr>
              <w:pStyle w:val="Compact"/>
              <w:jc w:val="left"/>
            </w:pPr>
            <w:r>
              <w:t xml:space="preserve">5,400.00</w:t>
            </w:r>
          </w:p>
        </w:tc>
        <w:tc>
          <w:tcPr/>
          <w:p>
            <w:pPr>
              <w:pStyle w:val="Compact"/>
              <w:jc w:val="left"/>
            </w:pPr>
            <w:r>
              <w:t xml:space="preserve">Incl. 21% IVA</w:t>
            </w:r>
          </w:p>
        </w:tc>
      </w:tr>
      <w:tr>
        <w:tc>
          <w:tcPr/>
          <w:p>
            <w:pPr>
              <w:pStyle w:val="Compact"/>
              <w:jc w:val="left"/>
            </w:pPr>
            <w:r>
              <w:t xml:space="preserve">06</w:t>
            </w:r>
          </w:p>
        </w:tc>
        <w:tc>
          <w:tcPr/>
          <w:p>
            <w:pPr>
              <w:pStyle w:val="Compact"/>
              <w:jc w:val="left"/>
            </w:pPr>
            <w:r>
              <w:t xml:space="preserve">Access to specialised databases, archival materials, and research software licences (SPSS, NVivo, Stata) required for the</w:t>
            </w:r>
            <w:r>
              <w:t xml:space="preserve"> </w:t>
            </w:r>
            <w:r>
              <w:t xml:space="preserve">Academic Researcher</w:t>
            </w:r>
            <w:r>
              <w:t xml:space="preserve"> </w:t>
            </w:r>
            <w:r>
              <w:t xml:space="preserve">workflow</w:t>
            </w:r>
          </w:p>
        </w:tc>
        <w:tc>
          <w:tcPr/>
          <w:p>
            <w:pPr>
              <w:pStyle w:val="Compact"/>
              <w:jc w:val="left"/>
            </w:pPr>
            <w:r>
              <w:t xml:space="preserve">12 months</w:t>
            </w:r>
          </w:p>
        </w:tc>
        <w:tc>
          <w:tcPr/>
          <w:p>
            <w:pPr>
              <w:pStyle w:val="Compact"/>
              <w:jc w:val="left"/>
            </w:pPr>
            <w:r>
              <w:t xml:space="preserve">680 / month</w:t>
            </w:r>
          </w:p>
        </w:tc>
        <w:tc>
          <w:tcPr/>
          <w:p>
            <w:pPr>
              <w:pStyle w:val="Compact"/>
              <w:jc w:val="left"/>
            </w:pPr>
            <w:r>
              <w:t xml:space="preserve">8,160.00</w:t>
            </w:r>
          </w:p>
        </w:tc>
        <w:tc>
          <w:tcPr/>
          <w:p>
            <w:pPr>
              <w:pStyle w:val="Compact"/>
              <w:jc w:val="left"/>
            </w:pPr>
            <w:r>
              <w:t xml:space="preserve">Incl. 21% IVA</w:t>
            </w:r>
          </w:p>
        </w:tc>
      </w:tr>
      <w:tr>
        <w:tc>
          <w:tcPr/>
          <w:p>
            <w:pPr>
              <w:pStyle w:val="Compact"/>
              <w:jc w:val="left"/>
            </w:pPr>
            <w:r>
              <w:t xml:space="preserve">07</w:t>
            </w:r>
          </w:p>
        </w:tc>
        <w:tc>
          <w:tcPr/>
          <w:p>
            <w:pPr>
              <w:pStyle w:val="Compact"/>
              <w:jc w:val="left"/>
            </w:pPr>
            <w:r>
              <w:t xml:space="preserve">Two academic conference presentations — one at the Congreso de Ciencias Sociales in Valencia and one at the International Research Symposium in Madrid, including registration, travel, and accommodation</w:t>
            </w:r>
          </w:p>
        </w:tc>
        <w:tc>
          <w:tcPr/>
          <w:p>
            <w:pPr>
              <w:pStyle w:val="Compact"/>
              <w:jc w:val="left"/>
            </w:pPr>
            <w:r>
              <w:t xml:space="preserve">2 events</w:t>
            </w:r>
          </w:p>
        </w:tc>
        <w:tc>
          <w:tcPr/>
          <w:p>
            <w:pPr>
              <w:pStyle w:val="Compact"/>
              <w:jc w:val="left"/>
            </w:pPr>
            <w:r>
              <w:t xml:space="preserve">1,850 / event</w:t>
            </w:r>
          </w:p>
        </w:tc>
        <w:tc>
          <w:tcPr/>
          <w:p>
            <w:pPr>
              <w:pStyle w:val="Compact"/>
              <w:jc w:val="left"/>
            </w:pPr>
            <w:r>
              <w:t xml:space="preserve">3,700.00</w:t>
            </w:r>
          </w:p>
        </w:tc>
        <w:tc>
          <w:tcPr/>
          <w:p>
            <w:pPr>
              <w:pStyle w:val="Compact"/>
              <w:jc w:val="left"/>
            </w:pPr>
            <w:r>
              <w:t xml:space="preserve">Incl. 21% IVA</w:t>
            </w:r>
          </w:p>
        </w:tc>
      </w:tr>
      <w:tr>
        <w:tc>
          <w:tcPr/>
          <w:p>
            <w:pPr>
              <w:pStyle w:val="Compact"/>
              <w:jc w:val="left"/>
            </w:pPr>
            <w:r>
              <w:t xml:space="preserve">08</w:t>
            </w:r>
          </w:p>
        </w:tc>
        <w:tc>
          <w:tcPr/>
          <w:p>
            <w:pPr>
              <w:pStyle w:val="Compact"/>
              <w:jc w:val="left"/>
            </w:pPr>
            <w:r>
              <w:t xml:space="preserve">Project management, progress reporting, and administrative coordination with the Universidad Politécnica de Valencia — monthly written reports and quarterly in-person review meetings in</w:t>
            </w:r>
            <w:r>
              <w:t xml:space="preserve"> </w:t>
            </w:r>
            <w:r>
              <w:t xml:space="preserve">Spain Valencia</w:t>
            </w:r>
          </w:p>
        </w:tc>
        <w:tc>
          <w:tcPr/>
          <w:p>
            <w:pPr>
              <w:pStyle w:val="Compact"/>
              <w:jc w:val="left"/>
            </w:pPr>
            <w:r>
              <w:t xml:space="preserve">12 months</w:t>
            </w:r>
          </w:p>
        </w:tc>
        <w:tc>
          <w:tcPr/>
          <w:p>
            <w:pPr>
              <w:pStyle w:val="Compact"/>
              <w:jc w:val="left"/>
            </w:pPr>
            <w:r>
              <w:t xml:space="preserve">600 / month</w:t>
            </w:r>
          </w:p>
        </w:tc>
        <w:tc>
          <w:tcPr/>
          <w:p>
            <w:pPr>
              <w:pStyle w:val="Compact"/>
              <w:jc w:val="left"/>
            </w:pPr>
            <w:r>
              <w:t xml:space="preserve">7,200.00</w:t>
            </w:r>
          </w:p>
        </w:tc>
        <w:tc>
          <w:tcPr/>
          <w:p>
            <w:pPr>
              <w:pStyle w:val="Compact"/>
              <w:jc w:val="left"/>
            </w:pPr>
            <w:r>
              <w:t xml:space="preserve">Incl. 21% IVA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63,446.28</w:t>
            </w:r>
          </w:p>
        </w:tc>
      </w:tr>
      <w:tr>
        <w:tc>
          <w:tcPr/>
          <w:p>
            <w:pPr>
              <w:pStyle w:val="Compact"/>
              <w:jc w:val="left"/>
            </w:pPr>
            <w:r>
              <w:t xml:space="preserve">IVA (21% — Spanish VAT)</w:t>
            </w:r>
          </w:p>
        </w:tc>
        <w:tc>
          <w:tcPr/>
          <w:p>
            <w:pPr>
              <w:pStyle w:val="Compact"/>
              <w:jc w:val="right"/>
            </w:pPr>
            <w:r>
              <w:t xml:space="preserve">13,323.72</w:t>
            </w:r>
          </w:p>
        </w:tc>
      </w:tr>
      <w:tr>
        <w:tc>
          <w:tcPr/>
          <w:p>
            <w:pPr>
              <w:pStyle w:val="Compact"/>
              <w:jc w:val="left"/>
            </w:pPr>
            <w:r>
              <w:t xml:space="preserve">Grand Total (incl. IVA)</w:t>
            </w:r>
          </w:p>
        </w:tc>
        <w:tc>
          <w:tcPr/>
          <w:p>
            <w:pPr>
              <w:pStyle w:val="Compact"/>
              <w:jc w:val="right"/>
            </w:pPr>
            <w:r>
              <w:t xml:space="preserve">76,770.00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Should the client wish to proceed after the expiry date, a revised</w:t>
      </w:r>
      <w:r>
        <w:t xml:space="preserve"> </w:t>
      </w:r>
      <w:r>
        <w:t xml:space="preserve">Quotation Estimate</w:t>
      </w:r>
      <w:r>
        <w:t xml:space="preserve"> </w:t>
      </w:r>
      <w:r>
        <w:t xml:space="preserve">reflecting any changes in market rates or resource availability will be issued.</w:t>
      </w:r>
    </w:p>
    <w:p>
      <w:pPr>
        <w:numPr>
          <w:ilvl w:val="0"/>
          <w:numId w:val="1001"/>
        </w:numPr>
        <w:pStyle w:val="Compact"/>
      </w:pPr>
      <w:r>
        <w:t xml:space="preserve">All fees quoted are in Euros (EUR) and include the applicable Spanish Value Added Tax (IVA) at the current rate of 21%. No additional taxes or levies specific to the</w:t>
      </w:r>
      <w:r>
        <w:t xml:space="preserve"> </w:t>
      </w:r>
      <w:r>
        <w:t xml:space="preserve">Spain Valencia</w:t>
      </w:r>
      <w:r>
        <w:t xml:space="preserve"> </w:t>
      </w:r>
      <w:r>
        <w:t xml:space="preserve">region shall be charged beyond those stated herein.</w:t>
      </w:r>
    </w:p>
    <w:p>
      <w:pPr>
        <w:numPr>
          <w:ilvl w:val="0"/>
          <w:numId w:val="1001"/>
        </w:numPr>
        <w:pStyle w:val="Compact"/>
      </w:pPr>
      <w:r>
        <w:t xml:space="preserve">Payment shall be made in quarterly instalments of 19,192.50 EUR (incl. IVA), due within thirty (30) days of the invoice date. The first instalment is due upon contract signature; subsequent instalments are due on 1 December 2025, 1 March 2026, and 1 June 2026.</w:t>
      </w:r>
    </w:p>
    <w:p>
      <w:pPr>
        <w:numPr>
          <w:ilvl w:val="0"/>
          <w:numId w:val="1001"/>
        </w:numPr>
        <w:pStyle w:val="Compact"/>
      </w:pPr>
      <w:r>
        <w:t xml:space="preserve">The</w:t>
      </w:r>
      <w:r>
        <w:t xml:space="preserve"> </w:t>
      </w:r>
      <w:r>
        <w:t xml:space="preserve">Academic Researcher</w:t>
      </w:r>
      <w:r>
        <w:t xml:space="preserve"> </w:t>
      </w:r>
      <w:r>
        <w:t xml:space="preserve">shall devote a minimum of 38 hours per week to the project. Any work performed beyond the agreed scope, as defined in the attached Statement of Work, will be subject to a separate</w:t>
      </w:r>
      <w:r>
        <w:t xml:space="preserve"> </w:t>
      </w:r>
      <w:r>
        <w:t xml:space="preserve">Quotation Estimate</w:t>
      </w:r>
      <w:r>
        <w:t xml:space="preserve"> </w:t>
      </w:r>
      <w:r>
        <w:t xml:space="preserve">and prior written approval from the client.</w:t>
      </w:r>
    </w:p>
    <w:p>
      <w:pPr>
        <w:numPr>
          <w:ilvl w:val="0"/>
          <w:numId w:val="1001"/>
        </w:numPr>
        <w:pStyle w:val="Compact"/>
      </w:pPr>
      <w:r>
        <w:t xml:space="preserve">All intellectual property, including the monograph, journal articles, datasets, and analytical code produced by the</w:t>
      </w:r>
      <w:r>
        <w:t xml:space="preserve"> </w:t>
      </w:r>
      <w:r>
        <w:t xml:space="preserve">Academic Researcher</w:t>
      </w:r>
      <w:r>
        <w:t xml:space="preserve">, shall be jointly owned by the client and the researcher, with the researcher retaining the right to present findings at academic conferences in</w:t>
      </w:r>
      <w:r>
        <w:t xml:space="preserve"> </w:t>
      </w:r>
      <w:r>
        <w:t xml:space="preserve">Spain Valencia</w:t>
      </w:r>
      <w:r>
        <w:t xml:space="preserve"> </w:t>
      </w:r>
      <w:r>
        <w:t xml:space="preserve">and internationally.</w:t>
      </w:r>
    </w:p>
    <w:p>
      <w:pPr>
        <w:numPr>
          <w:ilvl w:val="0"/>
          <w:numId w:val="1001"/>
        </w:numPr>
        <w:pStyle w:val="Compact"/>
      </w:pPr>
      <w:r>
        <w:t xml:space="preserve">The</w:t>
      </w:r>
      <w:r>
        <w:t xml:space="preserve"> </w:t>
      </w:r>
      <w:r>
        <w:t xml:space="preserve">Academic Researcher</w:t>
      </w:r>
      <w:r>
        <w:t xml:space="preserve"> </w:t>
      </w:r>
      <w:r>
        <w:t xml:space="preserve">shall comply with all applicable Spanish data protection regulations (LOPDGDD) and the EU General Data Protection Regulation (GDPR) in the handling of participant data collected within</w:t>
      </w:r>
      <w:r>
        <w:t xml:space="preserve"> </w:t>
      </w:r>
      <w:r>
        <w:t xml:space="preserve">Spain Valencia</w:t>
      </w:r>
      <w:r>
        <w:t xml:space="preserve">.</w:t>
      </w:r>
    </w:p>
    <w:p>
      <w:pPr>
        <w:numPr>
          <w:ilvl w:val="0"/>
          <w:numId w:val="1001"/>
        </w:numPr>
        <w:pStyle w:val="Compact"/>
      </w:pPr>
      <w:r>
        <w:t xml:space="preserve">Either party may terminate the engagement with sixty (60) days written notice. In the event of early termination, the client shall pay for all services rendered up to the termination date, as detailed in a final</w:t>
      </w:r>
      <w:r>
        <w:t xml:space="preserve"> </w:t>
      </w:r>
      <w:r>
        <w:t xml:space="preserve">Quotation Estimate</w:t>
      </w:r>
      <w:r>
        <w:t xml:space="preserve"> </w:t>
      </w:r>
      <w:r>
        <w:t xml:space="preserve">reconciliation statement.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negotiation.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costs, and terms described herein accurately reflect the agreed engagement of the</w:t>
      </w:r>
      <w:r>
        <w:t xml:space="preserve"> </w:t>
      </w:r>
      <w:r>
        <w:t xml:space="preserve">Academic Researcher</w:t>
      </w:r>
      <w:r>
        <w:t xml:space="preserve"> </w:t>
      </w:r>
      <w:r>
        <w:t xml:space="preserve">for the research programme to be conducted in</w:t>
      </w:r>
      <w:r>
        <w:t xml:space="preserve"> </w:t>
      </w:r>
      <w:r>
        <w:t xml:space="preserve">Spain Valencia</w:t>
      </w:r>
      <w:r>
        <w:t xml:space="preserve">.</w:t>
      </w:r>
    </w:p>
    <w:p>
      <w:pPr>
        <w:pStyle w:val="BodyText"/>
      </w:pPr>
      <w:r>
        <w:rPr>
          <w:bCs/>
          <w:b/>
        </w:rPr>
        <w:t xml:space="preserve">For the Client:</w:t>
      </w:r>
      <w:r>
        <w:br/>
      </w:r>
      <w:r>
        <w:t xml:space="preserve">Prof. José Antonio Ferrer</w:t>
      </w:r>
      <w:r>
        <w:br/>
      </w:r>
      <w:r>
        <w:t xml:space="preserve">Director of Research, Universidad Politécnica de Valencia</w:t>
      </w:r>
      <w:r>
        <w:br/>
      </w:r>
      <w:r>
        <w:t xml:space="preserve">Date: ______________________</w:t>
      </w:r>
    </w:p>
    <w:p>
      <w:pPr>
        <w:pStyle w:val="BodyText"/>
      </w:pPr>
      <w:r>
        <w:rPr>
          <w:bCs/>
          <w:b/>
        </w:rPr>
        <w:t xml:space="preserve">For the Academic Researcher:</w:t>
      </w:r>
      <w:r>
        <w:br/>
      </w:r>
      <w:r>
        <w:t xml:space="preserve">Dr. Elena Marchetti</w:t>
      </w:r>
      <w:r>
        <w:br/>
      </w:r>
      <w:r>
        <w:t xml:space="preserve">Lead Academic Researcher, Instituto de Investigaciones Académicas del Mediterráneo</w:t>
      </w:r>
      <w:r>
        <w:br/>
      </w:r>
      <w:r>
        <w:t xml:space="preserve">Date: ______________________</w:t>
      </w:r>
    </w:p>
    <w:p>
      <w:pPr>
        <w:pStyle w:val="BodyText"/>
      </w:pPr>
      <w:r>
        <w:t xml:space="preserve">Quotation Estimate QTE-VAL-2025-0047 — Academic Researcher Services — Spain Valencia</w:t>
      </w:r>
      <w:r>
        <w:br/>
      </w:r>
      <w:r>
        <w:t xml:space="preserve">Instituto de Investigaciones Académicas del Mediterráneo • C/ Colón 12, 46004 Valencia, Spain • CIF: B-46000000X • Tel: +34 963 000 000</w:t>
      </w:r>
      <w:r>
        <w:br/>
      </w:r>
      <w:r>
        <w:t xml:space="preserve">This document is generated electronically and is valid without a physical signature. ©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Spain Valencia</dc:title>
  <dc:creator/>
  <dc:language>en</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