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Meridian Academic Consulting LLC</w:t>
      </w:r>
    </w:p>
    <w:p>
      <w:pPr>
        <w:pStyle w:val="BodyText"/>
      </w:pPr>
      <w:r>
        <w:t xml:space="preserve">Office 1204, Al Maryah Island, Tower 3, United Arab Emirates Abu Dhabi</w:t>
      </w:r>
    </w:p>
    <w:p>
      <w:pPr>
        <w:pStyle w:val="BodyText"/>
      </w:pPr>
      <w:r>
        <w:t xml:space="preserve">Tel: +971 2 445 6789 | Email: quotations@meridianacademic.ae</w:t>
      </w:r>
    </w:p>
    <w:p>
      <w:pPr>
        <w:pStyle w:val="BodyText"/>
      </w:pPr>
      <w:r>
        <w:t xml:space="preserve">Trade License No: 1045872 | VAT No: 100458723000003</w:t>
      </w:r>
    </w:p>
    <w:bookmarkEnd w:id="20"/>
    <w:p>
      <w:pPr>
        <w:pStyle w:val="BodyText"/>
      </w:pPr>
      <w:r>
        <w:rPr>
          <w:bCs/>
          <w:b/>
        </w:rPr>
        <w:t xml:space="preserve">Quotation No:</w:t>
      </w:r>
      <w:r>
        <w:t xml:space="preserve"> </w:t>
      </w:r>
      <w:r>
        <w:t xml:space="preserve">QTE-2025-ABD-0347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Dr. Khalid Al Mansoori</w:t>
      </w:r>
    </w:p>
    <w:p>
      <w:pPr>
        <w:pStyle w:val="BodyText"/>
      </w:pPr>
      <w:r>
        <w:t xml:space="preserve">This</w:t>
      </w:r>
      <w:r>
        <w:t xml:space="preserve"> </w:t>
      </w:r>
      <w:r>
        <w:t xml:space="preserve">Quotation Estimate</w:t>
      </w:r>
      <w:r>
        <w:t xml:space="preserve"> </w:t>
      </w:r>
      <w:r>
        <w:t xml:space="preserve">is formally issued by Meridian Academic Consulting LLC, a registered professional services firm operating in the</w:t>
      </w:r>
      <w:r>
        <w:t xml:space="preserve"> </w:t>
      </w:r>
      <w:r>
        <w:t xml:space="preserve">United Arab Emirates Abu Dhabi</w:t>
      </w:r>
      <w:r>
        <w:t xml:space="preserve"> </w:t>
      </w:r>
      <w:r>
        <w:t xml:space="preserve">jurisdiction, to provide comprehensive</w:t>
      </w:r>
      <w:r>
        <w:t xml:space="preserve"> </w:t>
      </w:r>
      <w:r>
        <w:t xml:space="preserve">Academic Researcher</w:t>
      </w:r>
      <w:r>
        <w:t xml:space="preserve"> </w:t>
      </w:r>
      <w:r>
        <w:t xml:space="preserve">engagement services. This document outlines the scope of work, deliverables, associated costs, and contractual terms governing the proposed engagement. All pricing is denominated in United Arab Emirates Dirhams (AED) and is subject to the applicable Value Added Tax (VAT) at the prevailing rate of 5% as mandated by the Federal Tax Authority of the United Arab Emirates.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Khalid Al Mansoori, Department of Social Sciences</w:t>
            </w:r>
          </w:p>
        </w:tc>
      </w:tr>
      <w:tr>
        <w:tc>
          <w:tcPr/>
          <w:p>
            <w:pPr>
              <w:pStyle w:val="Compact"/>
              <w:jc w:val="left"/>
            </w:pPr>
            <w:r>
              <w:rPr>
                <w:bCs/>
                <w:b/>
              </w:rPr>
              <w:t xml:space="preserve">Institution:</w:t>
            </w:r>
          </w:p>
        </w:tc>
        <w:tc>
          <w:tcPr/>
          <w:p>
            <w:pPr>
              <w:pStyle w:val="Compact"/>
              <w:jc w:val="left"/>
            </w:pPr>
            <w:r>
              <w:t xml:space="preserve">United Arab Emirates Abu Dhabi – Khalifa University of Science and Technology</w:t>
            </w:r>
          </w:p>
        </w:tc>
      </w:tr>
      <w:tr>
        <w:tc>
          <w:tcPr/>
          <w:p>
            <w:pPr>
              <w:pStyle w:val="Compact"/>
              <w:jc w:val="left"/>
            </w:pPr>
            <w:r>
              <w:rPr>
                <w:bCs/>
                <w:b/>
              </w:rPr>
              <w:t xml:space="preserve">Project Reference:</w:t>
            </w:r>
          </w:p>
        </w:tc>
        <w:tc>
          <w:tcPr/>
          <w:p>
            <w:pPr>
              <w:pStyle w:val="Compact"/>
              <w:jc w:val="left"/>
            </w:pPr>
            <w:r>
              <w:t xml:space="preserve">KUST-SS-2025-0892</w:t>
            </w:r>
          </w:p>
        </w:tc>
      </w:tr>
      <w:tr>
        <w:tc>
          <w:tcPr/>
          <w:p>
            <w:pPr>
              <w:pStyle w:val="Compact"/>
              <w:jc w:val="left"/>
            </w:pPr>
            <w:r>
              <w:rPr>
                <w:bCs/>
                <w:b/>
              </w:rPr>
              <w:t xml:space="preserve">Contact Email:</w:t>
            </w:r>
          </w:p>
        </w:tc>
        <w:tc>
          <w:tcPr/>
          <w:p>
            <w:pPr>
              <w:pStyle w:val="Compact"/>
              <w:jc w:val="left"/>
            </w:pPr>
            <w:r>
              <w:t xml:space="preserve">k.almansoori@kust.ac.ae</w:t>
            </w:r>
          </w:p>
        </w:tc>
      </w:tr>
    </w:tbl>
    <w:bookmarkEnd w:id="21"/>
    <w:bookmarkStart w:id="22" w:name="Xbb6f56a2991cbb169ae8a31b7a96e8a15a3c0a0"/>
    <w:p>
      <w:pPr>
        <w:pStyle w:val="Heading2"/>
      </w:pPr>
      <w:r>
        <w:t xml:space="preserve">2. Scope of Services – Academic Researcher Engagement</w:t>
      </w:r>
    </w:p>
    <w:p>
      <w:pPr>
        <w:pStyle w:val="FirstParagraph"/>
      </w:pPr>
      <w:r>
        <w:t xml:space="preserve">The following</w:t>
      </w:r>
      <w:r>
        <w:t xml:space="preserve"> </w:t>
      </w:r>
      <w:r>
        <w:t xml:space="preserve">Academic Researcher</w:t>
      </w:r>
      <w:r>
        <w:t xml:space="preserve"> </w:t>
      </w:r>
      <w:r>
        <w:t xml:space="preserve">services are proposed for delivery within the</w:t>
      </w:r>
      <w:r>
        <w:t xml:space="preserve"> </w:t>
      </w:r>
      <w:r>
        <w:t xml:space="preserve">United Arab Emirates Abu Dhabi</w:t>
      </w:r>
      <w:r>
        <w:t xml:space="preserve"> </w:t>
      </w:r>
      <w:r>
        <w:t xml:space="preserve">metropolitan area and its surrounding academic institutions. The engagement period is estimated at twelve (12) months commencing from the date of contract execution.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Academic Researcher Service</w:t>
            </w:r>
          </w:p>
        </w:tc>
        <w:tc>
          <w:tcPr/>
          <w:p>
            <w:pPr>
              <w:pStyle w:val="Compact"/>
              <w:jc w:val="left"/>
            </w:pPr>
            <w:r>
              <w:t xml:space="preserve">Duration</w:t>
            </w:r>
          </w:p>
        </w:tc>
        <w:tc>
          <w:tcPr/>
          <w:p>
            <w:pPr>
              <w:pStyle w:val="Compact"/>
              <w:jc w:val="left"/>
            </w:pPr>
            <w:r>
              <w:t xml:space="preserve">Unit Cost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Academic Researcher – Literature Review &amp; Theoretical Framework Development (PhD-level, 15+ years experience in social sciences)</w:t>
            </w:r>
          </w:p>
        </w:tc>
        <w:tc>
          <w:tcPr/>
          <w:p>
            <w:pPr>
              <w:pStyle w:val="Compact"/>
              <w:jc w:val="left"/>
            </w:pPr>
            <w:r>
              <w:t xml:space="preserve">3 months</w:t>
            </w:r>
          </w:p>
        </w:tc>
        <w:tc>
          <w:tcPr/>
          <w:p>
            <w:pPr>
              <w:pStyle w:val="Compact"/>
              <w:jc w:val="left"/>
            </w:pPr>
            <w:r>
              <w:t xml:space="preserve">18,500</w:t>
            </w:r>
          </w:p>
        </w:tc>
        <w:tc>
          <w:tcPr/>
          <w:p>
            <w:pPr>
              <w:pStyle w:val="Compact"/>
              <w:jc w:val="left"/>
            </w:pPr>
            <w:r>
              <w:t xml:space="preserve">3</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Mid-Level Academic Researcher – Data Collection, Survey Design &amp; Fieldwork Coordination in United Arab Emirates Abu Dhabi communities</w:t>
            </w:r>
          </w:p>
        </w:tc>
        <w:tc>
          <w:tcPr/>
          <w:p>
            <w:pPr>
              <w:pStyle w:val="Compact"/>
              <w:jc w:val="left"/>
            </w:pPr>
            <w:r>
              <w:t xml:space="preserve">4 months</w:t>
            </w:r>
          </w:p>
        </w:tc>
        <w:tc>
          <w:tcPr/>
          <w:p>
            <w:pPr>
              <w:pStyle w:val="Compact"/>
              <w:jc w:val="left"/>
            </w:pPr>
            <w:r>
              <w:t xml:space="preserve">14,200</w:t>
            </w:r>
          </w:p>
        </w:tc>
        <w:tc>
          <w:tcPr/>
          <w:p>
            <w:pPr>
              <w:pStyle w:val="Compact"/>
              <w:jc w:val="left"/>
            </w:pPr>
            <w:r>
              <w:t xml:space="preserve">4</w:t>
            </w:r>
          </w:p>
        </w:tc>
        <w:tc>
          <w:tcPr/>
          <w:p>
            <w:pPr>
              <w:pStyle w:val="Compact"/>
              <w:jc w:val="left"/>
            </w:pPr>
            <w:r>
              <w:t xml:space="preserve">56,800</w:t>
            </w:r>
          </w:p>
        </w:tc>
      </w:tr>
      <w:tr>
        <w:tc>
          <w:tcPr/>
          <w:p>
            <w:pPr>
              <w:pStyle w:val="Compact"/>
              <w:jc w:val="left"/>
            </w:pPr>
            <w:r>
              <w:t xml:space="preserve">03</w:t>
            </w:r>
          </w:p>
        </w:tc>
        <w:tc>
          <w:tcPr/>
          <w:p>
            <w:pPr>
              <w:pStyle w:val="Compact"/>
              <w:jc w:val="left"/>
            </w:pPr>
            <w:r>
              <w:t xml:space="preserve">Junior Academic Researcher – Data Entry, Statistical Analysis &amp; SPSS/STATA Processing</w:t>
            </w:r>
          </w:p>
        </w:tc>
        <w:tc>
          <w:tcPr/>
          <w:p>
            <w:pPr>
              <w:pStyle w:val="Compact"/>
              <w:jc w:val="left"/>
            </w:pPr>
            <w:r>
              <w:t xml:space="preserve">3 months</w:t>
            </w:r>
          </w:p>
        </w:tc>
        <w:tc>
          <w:tcPr/>
          <w:p>
            <w:pPr>
              <w:pStyle w:val="Compact"/>
              <w:jc w:val="left"/>
            </w:pPr>
            <w:r>
              <w:t xml:space="preserve">9,800</w:t>
            </w:r>
          </w:p>
        </w:tc>
        <w:tc>
          <w:tcPr/>
          <w:p>
            <w:pPr>
              <w:pStyle w:val="Compact"/>
              <w:jc w:val="left"/>
            </w:pPr>
            <w:r>
              <w:t xml:space="preserve">3</w:t>
            </w:r>
          </w:p>
        </w:tc>
        <w:tc>
          <w:tcPr/>
          <w:p>
            <w:pPr>
              <w:pStyle w:val="Compact"/>
              <w:jc w:val="left"/>
            </w:pPr>
            <w:r>
              <w:t xml:space="preserve">29,400</w:t>
            </w:r>
          </w:p>
        </w:tc>
      </w:tr>
      <w:tr>
        <w:tc>
          <w:tcPr/>
          <w:p>
            <w:pPr>
              <w:pStyle w:val="Compact"/>
              <w:jc w:val="left"/>
            </w:pPr>
            <w:r>
              <w:t xml:space="preserve">04</w:t>
            </w:r>
          </w:p>
        </w:tc>
        <w:tc>
          <w:tcPr/>
          <w:p>
            <w:pPr>
              <w:pStyle w:val="Compact"/>
              <w:jc w:val="left"/>
            </w:pPr>
            <w:r>
              <w:t xml:space="preserve">Academic Researcher – Manuscript Drafting, Peer Review Preparation &amp; Journal Submission Support (targeting Q1/Q2 indexed journals)</w:t>
            </w:r>
          </w:p>
        </w:tc>
        <w:tc>
          <w:tcPr/>
          <w:p>
            <w:pPr>
              <w:pStyle w:val="Compact"/>
              <w:jc w:val="left"/>
            </w:pPr>
            <w:r>
              <w:t xml:space="preserve">2 months</w:t>
            </w:r>
          </w:p>
        </w:tc>
        <w:tc>
          <w:tcPr/>
          <w:p>
            <w:pPr>
              <w:pStyle w:val="Compact"/>
              <w:jc w:val="left"/>
            </w:pPr>
            <w:r>
              <w:t xml:space="preserve">16,000</w:t>
            </w:r>
          </w:p>
        </w:tc>
        <w:tc>
          <w:tcPr/>
          <w:p>
            <w:pPr>
              <w:pStyle w:val="Compact"/>
              <w:jc w:val="left"/>
            </w:pPr>
            <w:r>
              <w:t xml:space="preserve">2</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Academic Researcher – Conference Presentation Preparation &amp; Abstract Development for regional and international academic conferences</w:t>
            </w:r>
          </w:p>
        </w:tc>
        <w:tc>
          <w:tcPr/>
          <w:p>
            <w:pPr>
              <w:pStyle w:val="Compact"/>
              <w:jc w:val="left"/>
            </w:pPr>
            <w:r>
              <w:t xml:space="preserve">1 month</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Project Management &amp; Quality Assurance Oversight (dedicated Academic Researcher team supervisor)</w:t>
            </w:r>
          </w:p>
        </w:tc>
        <w:tc>
          <w:tcPr/>
          <w:p>
            <w:pPr>
              <w:pStyle w:val="Compact"/>
              <w:jc w:val="left"/>
            </w:pPr>
            <w:r>
              <w:t xml:space="preserve">12 months</w:t>
            </w:r>
          </w:p>
        </w:tc>
        <w:tc>
          <w:tcPr/>
          <w:p>
            <w:pPr>
              <w:pStyle w:val="Compact"/>
              <w:jc w:val="left"/>
            </w:pPr>
            <w:r>
              <w:t xml:space="preserve">6,200</w:t>
            </w:r>
          </w:p>
        </w:tc>
        <w:tc>
          <w:tcPr/>
          <w:p>
            <w:pPr>
              <w:pStyle w:val="Compact"/>
              <w:jc w:val="left"/>
            </w:pPr>
            <w:r>
              <w:t xml:space="preserve">12</w:t>
            </w:r>
          </w:p>
        </w:tc>
        <w:tc>
          <w:tcPr/>
          <w:p>
            <w:pPr>
              <w:pStyle w:val="Compact"/>
              <w:jc w:val="left"/>
            </w:pPr>
            <w:r>
              <w:t xml:space="preserve">74,400</w:t>
            </w:r>
          </w:p>
        </w:tc>
      </w:tr>
      <w:tr>
        <w:tc>
          <w:tcPr/>
          <w:p>
            <w:pPr>
              <w:pStyle w:val="Compact"/>
              <w:jc w:val="left"/>
            </w:pPr>
            <w:r>
              <w:t xml:space="preserve">07</w:t>
            </w:r>
          </w:p>
        </w:tc>
        <w:tc>
          <w:tcPr/>
          <w:p>
            <w:pPr>
              <w:pStyle w:val="Compact"/>
              <w:jc w:val="left"/>
            </w:pPr>
            <w:r>
              <w:t xml:space="preserve">Administrative Support – Licensing, Visa Processing &amp; Compliance with United Arab Emirates Abu Dhabi academic regulations</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Travel &amp; Logistics – Local transportation within United Arab Emirates Abu Dhabi for fieldwork and institutional visits</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gridSpan w:val="5"/>
          </w:tcPr>
          <w:p>
            <w:pPr>
              <w:pStyle w:val="Compact"/>
              <w:jc w:val="right"/>
            </w:pPr>
            <w:r>
              <w:t xml:space="preserve">Subtotal (AED)</w:t>
            </w:r>
          </w:p>
        </w:tc>
        <w:tc>
          <w:tcPr/>
          <w:p>
            <w:pPr>
              <w:pStyle w:val="Compact"/>
              <w:jc w:val="left"/>
            </w:pPr>
            <w:r>
              <w:t xml:space="preserve">293,700</w:t>
            </w:r>
          </w:p>
        </w:tc>
      </w:tr>
      <w:tr>
        <w:tc>
          <w:tcPr>
            <w:gridSpan w:val="5"/>
          </w:tcPr>
          <w:p>
            <w:pPr>
              <w:pStyle w:val="Compact"/>
              <w:jc w:val="right"/>
            </w:pPr>
            <w:r>
              <w:t xml:space="preserve">VAT @ 5%</w:t>
            </w:r>
          </w:p>
        </w:tc>
        <w:tc>
          <w:tcPr/>
          <w:p>
            <w:pPr>
              <w:pStyle w:val="Compact"/>
              <w:jc w:val="left"/>
            </w:pPr>
            <w:r>
              <w:t xml:space="preserve">14,685</w:t>
            </w:r>
          </w:p>
        </w:tc>
      </w:tr>
      <w:tr>
        <w:tc>
          <w:tcPr>
            <w:gridSpan w:val="5"/>
          </w:tcPr>
          <w:p>
            <w:pPr>
              <w:pStyle w:val="Compact"/>
              <w:jc w:val="right"/>
            </w:pPr>
            <w:r>
              <w:t xml:space="preserve">Grand Total (AED)</w:t>
            </w:r>
          </w:p>
        </w:tc>
        <w:tc>
          <w:tcPr/>
          <w:p>
            <w:pPr>
              <w:pStyle w:val="Compact"/>
              <w:jc w:val="left"/>
            </w:pPr>
            <w:r>
              <w:t xml:space="preserve">308,385</w:t>
            </w:r>
          </w:p>
        </w:tc>
      </w:tr>
    </w:tbl>
    <w:bookmarkEnd w:id="22"/>
    <w:bookmarkStart w:id="23" w:name="deliverables-milestones"/>
    <w:p>
      <w:pPr>
        <w:pStyle w:val="Heading2"/>
      </w:pPr>
      <w:r>
        <w:t xml:space="preserve">3. Deliverables &amp; Milestones</w:t>
      </w:r>
    </w:p>
    <w:p>
      <w:pPr>
        <w:pStyle w:val="FirstParagraph"/>
      </w:pPr>
      <w:r>
        <w:t xml:space="preserve">As part of this</w:t>
      </w:r>
      <w:r>
        <w:t xml:space="preserve"> </w:t>
      </w:r>
      <w:r>
        <w:t xml:space="preserve">Quotation Estimate</w:t>
      </w:r>
      <w:r>
        <w:t xml:space="preserve">, the following deliverables are committed to by the</w:t>
      </w:r>
      <w:r>
        <w:t xml:space="preserve"> </w:t>
      </w:r>
      <w:r>
        <w:t xml:space="preserve">Academic Researcher</w:t>
      </w:r>
      <w:r>
        <w:t xml:space="preserve"> </w:t>
      </w:r>
      <w:r>
        <w:t xml:space="preserve">team: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Completed Literature Review Report (minimum 40 pages) with annotated bibliography</w:t>
            </w:r>
          </w:p>
        </w:tc>
        <w:tc>
          <w:tcPr/>
          <w:p>
            <w:pPr>
              <w:pStyle w:val="Compact"/>
              <w:jc w:val="left"/>
            </w:pPr>
            <w:r>
              <w:t xml:space="preserve">September 2025</w:t>
            </w:r>
          </w:p>
        </w:tc>
      </w:tr>
      <w:tr>
        <w:tc>
          <w:tcPr/>
          <w:p>
            <w:pPr>
              <w:pStyle w:val="Compact"/>
              <w:jc w:val="left"/>
            </w:pPr>
            <w:r>
              <w:t xml:space="preserve">M2</w:t>
            </w:r>
          </w:p>
        </w:tc>
        <w:tc>
          <w:tcPr/>
          <w:p>
            <w:pPr>
              <w:pStyle w:val="Compact"/>
              <w:jc w:val="left"/>
            </w:pPr>
            <w:r>
              <w:t xml:space="preserve">Validated Survey Instrument &amp; Data Collection Protocol approved by institutional ethics board</w:t>
            </w:r>
          </w:p>
        </w:tc>
        <w:tc>
          <w:tcPr/>
          <w:p>
            <w:pPr>
              <w:pStyle w:val="Compact"/>
              <w:jc w:val="left"/>
            </w:pPr>
            <w:r>
              <w:t xml:space="preserve">November 2025</w:t>
            </w:r>
          </w:p>
        </w:tc>
      </w:tr>
      <w:tr>
        <w:tc>
          <w:tcPr/>
          <w:p>
            <w:pPr>
              <w:pStyle w:val="Compact"/>
              <w:jc w:val="left"/>
            </w:pPr>
            <w:r>
              <w:t xml:space="preserve">M3</w:t>
            </w:r>
          </w:p>
        </w:tc>
        <w:tc>
          <w:tcPr/>
          <w:p>
            <w:pPr>
              <w:pStyle w:val="Compact"/>
              <w:jc w:val="left"/>
            </w:pPr>
            <w:r>
              <w:t xml:space="preserve">Raw and processed dataset with statistical analysis report (SPSS/STATA output)</w:t>
            </w:r>
          </w:p>
        </w:tc>
        <w:tc>
          <w:tcPr/>
          <w:p>
            <w:pPr>
              <w:pStyle w:val="Compact"/>
              <w:jc w:val="left"/>
            </w:pPr>
            <w:r>
              <w:t xml:space="preserve">February 2026</w:t>
            </w:r>
          </w:p>
        </w:tc>
      </w:tr>
      <w:tr>
        <w:tc>
          <w:tcPr/>
          <w:p>
            <w:pPr>
              <w:pStyle w:val="Compact"/>
              <w:jc w:val="left"/>
            </w:pPr>
            <w:r>
              <w:t xml:space="preserve">M4</w:t>
            </w:r>
          </w:p>
        </w:tc>
        <w:tc>
          <w:tcPr/>
          <w:p>
            <w:pPr>
              <w:pStyle w:val="Compact"/>
              <w:jc w:val="left"/>
            </w:pPr>
            <w:r>
              <w:t xml:space="preserve">Full manuscript draft (8,000–12,000 words) formatted per target journal guidelines</w:t>
            </w:r>
          </w:p>
        </w:tc>
        <w:tc>
          <w:tcPr/>
          <w:p>
            <w:pPr>
              <w:pStyle w:val="Compact"/>
              <w:jc w:val="left"/>
            </w:pPr>
            <w:r>
              <w:t xml:space="preserve">April 2026</w:t>
            </w:r>
          </w:p>
        </w:tc>
      </w:tr>
      <w:tr>
        <w:tc>
          <w:tcPr/>
          <w:p>
            <w:pPr>
              <w:pStyle w:val="Compact"/>
              <w:jc w:val="left"/>
            </w:pPr>
            <w:r>
              <w:t xml:space="preserve">M5</w:t>
            </w:r>
          </w:p>
        </w:tc>
        <w:tc>
          <w:tcPr/>
          <w:p>
            <w:pPr>
              <w:pStyle w:val="Compact"/>
              <w:jc w:val="left"/>
            </w:pPr>
            <w:r>
              <w:t xml:space="preserve">Final submission package including cover letter, abstract, and supplementary materials</w:t>
            </w:r>
          </w:p>
        </w:tc>
        <w:tc>
          <w:tcPr/>
          <w:p>
            <w:pPr>
              <w:pStyle w:val="Compact"/>
              <w:jc w:val="left"/>
            </w:pPr>
            <w:r>
              <w:t xml:space="preserve">June 2026</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Trigger</w:t>
            </w:r>
          </w:p>
        </w:tc>
        <w:tc>
          <w:tcPr/>
          <w:p>
            <w:pPr>
              <w:pStyle w:val="Compact"/>
              <w:jc w:val="left"/>
            </w:pPr>
            <w:r>
              <w:t xml:space="preserve">Amount (AED)</w:t>
            </w:r>
          </w:p>
        </w:tc>
      </w:tr>
      <w:tr>
        <w:tc>
          <w:tcPr/>
          <w:p>
            <w:pPr>
              <w:pStyle w:val="Compact"/>
              <w:jc w:val="left"/>
            </w:pPr>
            <w:r>
              <w:t xml:space="preserve">1st (30%)</w:t>
            </w:r>
          </w:p>
        </w:tc>
        <w:tc>
          <w:tcPr/>
          <w:p>
            <w:pPr>
              <w:pStyle w:val="Compact"/>
              <w:jc w:val="left"/>
            </w:pPr>
            <w:r>
              <w:t xml:space="preserve">Upon contract signing and project kickoff</w:t>
            </w:r>
          </w:p>
        </w:tc>
        <w:tc>
          <w:tcPr/>
          <w:p>
            <w:pPr>
              <w:pStyle w:val="Compact"/>
              <w:jc w:val="left"/>
            </w:pPr>
            <w:r>
              <w:t xml:space="preserve">92,515.50</w:t>
            </w:r>
          </w:p>
        </w:tc>
      </w:tr>
      <w:tr>
        <w:tc>
          <w:tcPr/>
          <w:p>
            <w:pPr>
              <w:pStyle w:val="Compact"/>
              <w:jc w:val="left"/>
            </w:pPr>
            <w:r>
              <w:t xml:space="preserve">2nd (25%)</w:t>
            </w:r>
          </w:p>
        </w:tc>
        <w:tc>
          <w:tcPr/>
          <w:p>
            <w:pPr>
              <w:pStyle w:val="Compact"/>
              <w:jc w:val="left"/>
            </w:pPr>
            <w:r>
              <w:t xml:space="preserve">Upon completion of Milestone M2</w:t>
            </w:r>
          </w:p>
        </w:tc>
        <w:tc>
          <w:tcPr/>
          <w:p>
            <w:pPr>
              <w:pStyle w:val="Compact"/>
              <w:jc w:val="left"/>
            </w:pPr>
            <w:r>
              <w:t xml:space="preserve">77,096.25</w:t>
            </w:r>
          </w:p>
        </w:tc>
      </w:tr>
      <w:tr>
        <w:tc>
          <w:tcPr/>
          <w:p>
            <w:pPr>
              <w:pStyle w:val="Compact"/>
              <w:jc w:val="left"/>
            </w:pPr>
            <w:r>
              <w:t xml:space="preserve">3rd (25%)</w:t>
            </w:r>
          </w:p>
        </w:tc>
        <w:tc>
          <w:tcPr/>
          <w:p>
            <w:pPr>
              <w:pStyle w:val="Compact"/>
              <w:jc w:val="left"/>
            </w:pPr>
            <w:r>
              <w:t xml:space="preserve">Upon completion of Milestone M3</w:t>
            </w:r>
          </w:p>
        </w:tc>
        <w:tc>
          <w:tcPr/>
          <w:p>
            <w:pPr>
              <w:pStyle w:val="Compact"/>
              <w:jc w:val="left"/>
            </w:pPr>
            <w:r>
              <w:t xml:space="preserve">77,096.25</w:t>
            </w:r>
          </w:p>
        </w:tc>
      </w:tr>
      <w:tr>
        <w:tc>
          <w:tcPr/>
          <w:p>
            <w:pPr>
              <w:pStyle w:val="Compact"/>
              <w:jc w:val="left"/>
            </w:pPr>
            <w:r>
              <w:t xml:space="preserve">4th (20%)</w:t>
            </w:r>
          </w:p>
        </w:tc>
        <w:tc>
          <w:tcPr/>
          <w:p>
            <w:pPr>
              <w:pStyle w:val="Compact"/>
              <w:jc w:val="left"/>
            </w:pPr>
            <w:r>
              <w:t xml:space="preserve">Upon delivery of Milestone M5 (final submission)</w:t>
            </w:r>
          </w:p>
        </w:tc>
        <w:tc>
          <w:tcPr/>
          <w:p>
            <w:pPr>
              <w:pStyle w:val="Compact"/>
              <w:jc w:val="left"/>
            </w:pPr>
            <w:r>
              <w:t xml:space="preserve">61,677.00</w:t>
            </w:r>
          </w:p>
        </w:tc>
      </w:tr>
    </w:tbl>
    <w:p>
      <w:pPr>
        <w:pStyle w:val="BodyText"/>
      </w:pPr>
      <w:r>
        <w:t xml:space="preserve">All payments shall be made via bank transfer to the designated corporate account of Meridian Academic Consulting LLC, United Arab Emirates Abu Dhabi branch. Invoices will be issued in accordance with Federal Tax Authority requirements.</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w:t>
      </w:r>
      <w:r>
        <w:t xml:space="preserve"> </w:t>
      </w:r>
      <w:r>
        <w:t xml:space="preserve">United Arab Emirates Abu Dhabi</w:t>
      </w:r>
      <w:r>
        <w:t xml:space="preserve"> </w:t>
      </w:r>
      <w:r>
        <w:t xml:space="preserve">professional services sector.</w:t>
      </w:r>
    </w:p>
    <w:p>
      <w:pPr>
        <w:numPr>
          <w:ilvl w:val="0"/>
          <w:numId w:val="1001"/>
        </w:numPr>
        <w:pStyle w:val="Compact"/>
      </w:pPr>
      <w:r>
        <w:t xml:space="preserve">All</w:t>
      </w:r>
      <w:r>
        <w:t xml:space="preserve"> </w:t>
      </w:r>
      <w:r>
        <w:t xml:space="preserve">Academic Researcher</w:t>
      </w:r>
      <w:r>
        <w:t xml:space="preserve"> </w:t>
      </w:r>
      <w:r>
        <w:t xml:space="preserve">personnel engaged under this contract shall comply with the UAE Federal Labour Law (Federal Decree-Law No. 33 of 2021) and all applicable regulations of the Abu Dhabi Department of Education and Knowledge.</w:t>
      </w:r>
    </w:p>
    <w:p>
      <w:pPr>
        <w:numPr>
          <w:ilvl w:val="0"/>
          <w:numId w:val="1001"/>
        </w:numPr>
        <w:pStyle w:val="Compact"/>
      </w:pPr>
      <w:r>
        <w:t xml:space="preserve">Intellectual property rights for all research outputs, manuscripts, and data generated under this engagement shall vest exclusively with the client institution, subject to the Academic Researcher's right to be listed as a co-author where contribution warrants.</w:t>
      </w:r>
    </w:p>
    <w:p>
      <w:pPr>
        <w:numPr>
          <w:ilvl w:val="0"/>
          <w:numId w:val="1001"/>
        </w:numPr>
        <w:pStyle w:val="Compact"/>
      </w:pPr>
      <w:r>
        <w:t xml:space="preserve">Confidentiality: All data, preliminary findings, and unpublished materials shall be treated as strictly confidential. The Academic Researcher team shall execute a Non-Disclosure Agreement (NDA) prior to project commencement.</w:t>
      </w:r>
    </w:p>
    <w:p>
      <w:pPr>
        <w:numPr>
          <w:ilvl w:val="0"/>
          <w:numId w:val="1001"/>
        </w:numPr>
        <w:pStyle w:val="Compact"/>
      </w:pPr>
      <w:r>
        <w:t xml:space="preserve">Force Majeure: Neither party shall be liable for delays caused by events beyond reasonable control, including but not limited to government-mandated closures, natural disasters, or public health emergencies within the United Arab Emirates Abu Dhabi region.</w:t>
      </w:r>
    </w:p>
    <w:p>
      <w:pPr>
        <w:numPr>
          <w:ilvl w:val="0"/>
          <w:numId w:val="1001"/>
        </w:numPr>
        <w:pStyle w:val="Compact"/>
      </w:pPr>
      <w:r>
        <w:t xml:space="preserve">Termination: Either party may terminate this engagement with thirty (30) days written notice. In such cases, payment shall be due for all services rendered up to the termination date.</w:t>
      </w:r>
    </w:p>
    <w:p>
      <w:pPr>
        <w:numPr>
          <w:ilvl w:val="0"/>
          <w:numId w:val="1001"/>
        </w:numPr>
        <w:pStyle w:val="Compact"/>
      </w:pPr>
      <w:r>
        <w:t xml:space="preserve">Dispute Resolution: Any disputes arising from this Quotation Estimate shall be resolved through amicable negotiation. Failing resolution within thirty days, matters shall be referred to the Abu Dhabi Courts of Justice in accordance with UAE civil procedure law.</w:t>
      </w:r>
    </w:p>
    <w:p>
      <w:pPr>
        <w:numPr>
          <w:ilvl w:val="0"/>
          <w:numId w:val="1001"/>
        </w:numPr>
        <w:pStyle w:val="Compact"/>
      </w:pPr>
      <w:r>
        <w:t xml:space="preserve">This Quotation Estimate does not constitute a binding contract until countersigned by both parties and accompanied by the executed Service Agreement.</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Academic Researcher</w:t>
      </w:r>
      <w:r>
        <w:t xml:space="preserve"> </w:t>
      </w:r>
      <w:r>
        <w:t xml:space="preserve">services to be delivered in the</w:t>
      </w:r>
      <w:r>
        <w:t xml:space="preserve"> </w:t>
      </w:r>
      <w:r>
        <w:t xml:space="preserve">United Arab Emirates Abu Dhabi</w:t>
      </w:r>
      <w:r>
        <w:t xml:space="preserve"> </w:t>
      </w:r>
      <w:r>
        <w:t xml:space="preserve">jurisdiction.</w:t>
      </w:r>
    </w:p>
    <w:p>
      <w:pPr>
        <w:pStyle w:val="BodyText"/>
      </w:pPr>
      <w:r>
        <w:rPr>
          <w:bCs/>
          <w:b/>
        </w:rPr>
        <w:t xml:space="preserve">For Meridian Academic Consulting LLC</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the Client (Khalifa University)</w:t>
      </w:r>
      <w:r>
        <w:br/>
      </w:r>
      <w:r>
        <w:t xml:space="preserve">Name: Dr. Khalid Al Mansoori</w:t>
      </w:r>
      <w:r>
        <w:br/>
      </w:r>
      <w:r>
        <w:t xml:space="preserve">Title: Head of Department, Social Sciences</w:t>
      </w:r>
      <w:r>
        <w:br/>
      </w:r>
      <w:r>
        <w:t xml:space="preserve">Signature &amp; Date: _________________________</w:t>
      </w:r>
    </w:p>
    <w:p>
      <w:pPr>
        <w:pStyle w:val="BodyText"/>
      </w:pPr>
      <w:r>
        <w:t xml:space="preserve">Meridian Academic Consulting LLC | United Arab Emirates Abu Dhabi | Al Maryah Island, Tower 3, Office 1204</w:t>
      </w:r>
    </w:p>
    <w:p>
      <w:pPr>
        <w:pStyle w:val="BodyText"/>
      </w:pPr>
      <w:r>
        <w:t xml:space="preserve">Quotation No. QTE-2025-ABD-0347 | This document is electronically generated and valid without a physical stamp.</w:t>
      </w:r>
    </w:p>
    <w:p>
      <w:pPr>
        <w:pStyle w:val="BodyText"/>
      </w:pPr>
      <w:r>
        <w:t xml:space="preserve">© 2025 Meridian Academic Consulting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Arab Emirates Abu Dhabi</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