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Meridian Academic Consulting LLC</w:t>
      </w:r>
    </w:p>
    <w:p>
      <w:pPr>
        <w:pStyle w:val="BodyText"/>
      </w:pPr>
      <w:r>
        <w:t xml:space="preserve">Office 1204, Level 12, Burj Khalifa, Downtown Dubai, United Arab Emirates</w:t>
      </w:r>
    </w:p>
    <w:p>
      <w:pPr>
        <w:pStyle w:val="BodyText"/>
      </w:pPr>
      <w:r>
        <w:t xml:space="preserve">Tel: +971 4 555 0192 | Email: quotations@meridianacademic.ae</w:t>
      </w:r>
    </w:p>
    <w:p>
      <w:pPr>
        <w:pStyle w:val="BodyText"/>
      </w:pPr>
      <w:r>
        <w:t xml:space="preserve">Trade License No: 1048293 | TRN: 100482930000003</w:t>
      </w:r>
    </w:p>
    <w:bookmarkEnd w:id="20"/>
    <w:p>
      <w:pPr>
        <w:pStyle w:val="BodyText"/>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(see below)</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 Noor Institute for Advanced Studies</w:t>
            </w:r>
          </w:p>
        </w:tc>
      </w:tr>
      <w:tr>
        <w:tc>
          <w:tcPr/>
          <w:p>
            <w:pPr>
              <w:pStyle w:val="Compact"/>
              <w:jc w:val="left"/>
            </w:pPr>
            <w:r>
              <w:rPr>
                <w:bCs/>
                <w:b/>
              </w:rPr>
              <w:t xml:space="preserve">Address:</w:t>
            </w:r>
          </w:p>
        </w:tc>
        <w:tc>
          <w:tcPr/>
          <w:p>
            <w:pPr>
              <w:pStyle w:val="Compact"/>
              <w:jc w:val="left"/>
            </w:pPr>
            <w:r>
              <w:t xml:space="preserve">Sheikh Zayed Road, Business Bay, Dubai, United Arab Emirates</w:t>
            </w:r>
          </w:p>
        </w:tc>
      </w:tr>
      <w:tr>
        <w:tc>
          <w:tcPr/>
          <w:p>
            <w:pPr>
              <w:pStyle w:val="Compact"/>
              <w:jc w:val="left"/>
            </w:pPr>
            <w:r>
              <w:rPr>
                <w:bCs/>
                <w:b/>
              </w:rPr>
              <w:t xml:space="preserve">Contact Person:</w:t>
            </w:r>
          </w:p>
        </w:tc>
        <w:tc>
          <w:tcPr/>
          <w:p>
            <w:pPr>
              <w:pStyle w:val="Compact"/>
              <w:jc w:val="left"/>
            </w:pPr>
            <w:r>
              <w:t xml:space="preserve">Dr. Fatima Al Mansouri, Director of Research</w:t>
            </w:r>
          </w:p>
        </w:tc>
      </w:tr>
      <w:tr>
        <w:tc>
          <w:tcPr/>
          <w:p>
            <w:pPr>
              <w:pStyle w:val="Compact"/>
              <w:jc w:val="left"/>
            </w:pPr>
            <w:r>
              <w:rPr>
                <w:bCs/>
                <w:b/>
              </w:rPr>
              <w:t xml:space="preserve">Email:</w:t>
            </w:r>
          </w:p>
        </w:tc>
        <w:tc>
          <w:tcPr/>
          <w:p>
            <w:pPr>
              <w:pStyle w:val="Compact"/>
              <w:jc w:val="left"/>
            </w:pPr>
            <w:r>
              <w:t xml:space="preserve">f.almansouri@alnoorinstitute.ae</w:t>
            </w:r>
          </w:p>
        </w:tc>
      </w:tr>
    </w:tbl>
    <w:p>
      <w:pPr>
        <w:pStyle w:val="BodyText"/>
      </w:pPr>
      <w:r>
        <w:t xml:space="preserve">2. Scope of Work – Academic Researcher Engagement</w:t>
      </w:r>
    </w:p>
    <w:p>
      <w:pPr>
        <w:pStyle w:val="BodyText"/>
      </w:pPr>
      <w:r>
        <w:t xml:space="preserve">This</w:t>
      </w:r>
      <w:r>
        <w:t xml:space="preserve"> </w:t>
      </w:r>
      <w:r>
        <w:t xml:space="preserve">Quotation Estimate</w:t>
      </w:r>
      <w:r>
        <w:t xml:space="preserve"> </w:t>
      </w:r>
      <w:r>
        <w:t xml:space="preserve">is issued by Meridian Academic Consulting LLC to provide a comprehensive and transparent financial breakdown for the engagement of a qualified</w:t>
      </w:r>
      <w:r>
        <w:t xml:space="preserve"> </w:t>
      </w:r>
      <w:r>
        <w:t xml:space="preserve">Academic Researcher</w:t>
      </w:r>
      <w:r>
        <w:t xml:space="preserve"> </w:t>
      </w:r>
      <w:r>
        <w:t xml:space="preserve">to support the Al Noor Institute for Advanced Studies in conducting a multi-phase research programme. The</w:t>
      </w:r>
      <w:r>
        <w:t xml:space="preserve"> </w:t>
      </w:r>
      <w:r>
        <w:t xml:space="preserve">Academic Researcher</w:t>
      </w:r>
      <w:r>
        <w:t xml:space="preserve"> </w:t>
      </w:r>
      <w:r>
        <w:t xml:space="preserve">will be based in</w:t>
      </w:r>
      <w:r>
        <w:t xml:space="preserve"> </w:t>
      </w:r>
      <w:r>
        <w:t xml:space="preserve">United Arab Emirates Dubai</w:t>
      </w:r>
      <w:r>
        <w:t xml:space="preserve"> </w:t>
      </w:r>
      <w:r>
        <w:t xml:space="preserve">and will operate in accordance with the regulatory framework established by the UAE Ministry of Education and the Dubai Academic City guidelines. The scope encompasses literature review, data collection, statistical analysis, manuscript preparation, and peer-review coordination for a project titled</w:t>
      </w:r>
      <w:r>
        <w:t xml:space="preserve"> </w:t>
      </w:r>
      <w:r>
        <w:rPr>
          <w:iCs/>
          <w:i/>
        </w:rPr>
        <w:t xml:space="preserve">"Sustainable Urban Development in the Gulf Region: A Longitudinal Study."</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Recruitment, vetting, and onboarding of a senior Academic Researcher (PhD-level) with minimum 8 years of postdoctoral experience in urban planning or environmental sciences</w:t>
            </w:r>
          </w:p>
        </w:tc>
        <w:tc>
          <w:tcPr/>
          <w:p>
            <w:pPr>
              <w:pStyle w:val="Compact"/>
              <w:jc w:val="left"/>
            </w:pPr>
            <w:r>
              <w:t xml:space="preserve">1 month</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Monthly professional fee for the Academic Researcher, including full-time dedicated engagement in Dubai, United Arab Emirates</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Research data acquisition, database licensing (Scopus, Web of Science, JSTOR), and access to UAE-specific government statistical repositories</w:t>
            </w:r>
          </w:p>
        </w:tc>
        <w:tc>
          <w:tcPr/>
          <w:p>
            <w:pPr>
              <w:pStyle w:val="Compact"/>
              <w:jc w:val="left"/>
            </w:pPr>
            <w:r>
              <w:t xml:space="preserve">12 months</w:t>
            </w:r>
          </w:p>
        </w:tc>
        <w:tc>
          <w:tcPr/>
          <w:p>
            <w:pPr>
              <w:pStyle w:val="Compact"/>
              <w:jc w:val="left"/>
            </w:pPr>
            <w:r>
              <w:t xml:space="preserve">6,800</w:t>
            </w:r>
          </w:p>
        </w:tc>
        <w:tc>
          <w:tcPr/>
          <w:p>
            <w:pPr>
              <w:pStyle w:val="Compact"/>
              <w:jc w:val="left"/>
            </w:pPr>
            <w:r>
              <w:t xml:space="preserve">81,600</w:t>
            </w:r>
          </w:p>
        </w:tc>
      </w:tr>
      <w:tr>
        <w:tc>
          <w:tcPr/>
          <w:p>
            <w:pPr>
              <w:pStyle w:val="Compact"/>
              <w:jc w:val="left"/>
            </w:pPr>
            <w:r>
              <w:t xml:space="preserve">4</w:t>
            </w:r>
          </w:p>
        </w:tc>
        <w:tc>
          <w:tcPr/>
          <w:p>
            <w:pPr>
              <w:pStyle w:val="Compact"/>
              <w:jc w:val="left"/>
            </w:pPr>
            <w:r>
              <w:t xml:space="preserve">Fieldwork coordination within Dubai and wider UAE emirates, including travel, permits, and local research assistant support</w:t>
            </w:r>
          </w:p>
        </w:tc>
        <w:tc>
          <w:tcPr/>
          <w:p>
            <w:pPr>
              <w:pStyle w:val="Compact"/>
              <w:jc w:val="left"/>
            </w:pPr>
            <w:r>
              <w:t xml:space="preserve">6 months</w:t>
            </w:r>
          </w:p>
        </w:tc>
        <w:tc>
          <w:tcPr/>
          <w:p>
            <w:pPr>
              <w:pStyle w:val="Compact"/>
              <w:jc w:val="left"/>
            </w:pPr>
            <w:r>
              <w:t xml:space="preserve">12,400</w:t>
            </w:r>
          </w:p>
        </w:tc>
        <w:tc>
          <w:tcPr/>
          <w:p>
            <w:pPr>
              <w:pStyle w:val="Compact"/>
              <w:jc w:val="left"/>
            </w:pPr>
            <w:r>
              <w:t xml:space="preserve">74,400</w:t>
            </w:r>
          </w:p>
        </w:tc>
      </w:tr>
      <w:tr>
        <w:tc>
          <w:tcPr/>
          <w:p>
            <w:pPr>
              <w:pStyle w:val="Compact"/>
              <w:jc w:val="left"/>
            </w:pPr>
            <w:r>
              <w:t xml:space="preserve">5</w:t>
            </w:r>
          </w:p>
        </w:tc>
        <w:tc>
          <w:tcPr/>
          <w:p>
            <w:pPr>
              <w:pStyle w:val="Compact"/>
              <w:jc w:val="left"/>
            </w:pPr>
            <w:r>
              <w:t xml:space="preserve">Statistical analysis, data modelling, and use of specialized software (SPSS, R, GIS tools) for quantitative and qualitative research outputs</w:t>
            </w:r>
          </w:p>
        </w:tc>
        <w:tc>
          <w:tcPr/>
          <w:p>
            <w:pPr>
              <w:pStyle w:val="Compact"/>
              <w:jc w:val="left"/>
            </w:pPr>
            <w:r>
              <w:t xml:space="preserve">12 months</w:t>
            </w:r>
          </w:p>
        </w:tc>
        <w:tc>
          <w:tcPr/>
          <w:p>
            <w:pPr>
              <w:pStyle w:val="Compact"/>
              <w:jc w:val="left"/>
            </w:pPr>
            <w:r>
              <w:t xml:space="preserve">5,200</w:t>
            </w:r>
          </w:p>
        </w:tc>
        <w:tc>
          <w:tcPr/>
          <w:p>
            <w:pPr>
              <w:pStyle w:val="Compact"/>
              <w:jc w:val="left"/>
            </w:pPr>
            <w:r>
              <w:t xml:space="preserve">62,400</w:t>
            </w:r>
          </w:p>
        </w:tc>
      </w:tr>
      <w:tr>
        <w:tc>
          <w:tcPr/>
          <w:p>
            <w:pPr>
              <w:pStyle w:val="Compact"/>
              <w:jc w:val="left"/>
            </w:pPr>
            <w:r>
              <w:t xml:space="preserve">6</w:t>
            </w:r>
          </w:p>
        </w:tc>
        <w:tc>
          <w:tcPr/>
          <w:p>
            <w:pPr>
              <w:pStyle w:val="Compact"/>
              <w:jc w:val="left"/>
            </w:pPr>
            <w:r>
              <w:t xml:space="preserve">Manuscript drafting, editing, and preparation for submission to Q1/Q2 indexed journals; includes two rounds of professional academic editing</w:t>
            </w:r>
          </w:p>
        </w:tc>
        <w:tc>
          <w:tcPr/>
          <w:p>
            <w:pPr>
              <w:pStyle w:val="Compact"/>
              <w:jc w:val="left"/>
            </w:pPr>
            <w:r>
              <w:t xml:space="preserve">3 deliverables</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7</w:t>
            </w:r>
          </w:p>
        </w:tc>
        <w:tc>
          <w:tcPr/>
          <w:p>
            <w:pPr>
              <w:pStyle w:val="Compact"/>
              <w:jc w:val="left"/>
            </w:pPr>
            <w:r>
              <w:t xml:space="preserve">Compliance with UAE data protection law (Federal Decree-Law No. 45 of 2021) and ethical review board submission fees in Dubai</w:t>
            </w:r>
          </w:p>
        </w:tc>
        <w:tc>
          <w:tcPr/>
          <w:p>
            <w:pPr>
              <w:pStyle w:val="Compact"/>
              <w:jc w:val="left"/>
            </w:pPr>
            <w:r>
              <w:t xml:space="preserve">1 time</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8</w:t>
            </w:r>
          </w:p>
        </w:tc>
        <w:tc>
          <w:tcPr/>
          <w:p>
            <w:pPr>
              <w:pStyle w:val="Compact"/>
              <w:jc w:val="left"/>
            </w:pPr>
            <w:r>
              <w:t xml:space="preserve">Project management, monthly progress reporting, and quarterly stakeholder presentations in Dubai</w:t>
            </w:r>
          </w:p>
        </w:tc>
        <w:tc>
          <w:tcPr/>
          <w:p>
            <w:pPr>
              <w:pStyle w:val="Compact"/>
              <w:jc w:val="left"/>
            </w:pPr>
            <w:r>
              <w:t xml:space="preserve">12 months</w:t>
            </w:r>
          </w:p>
        </w:tc>
        <w:tc>
          <w:tcPr/>
          <w:p>
            <w:pPr>
              <w:pStyle w:val="Compact"/>
              <w:jc w:val="left"/>
            </w:pPr>
            <w:r>
              <w:t xml:space="preserve">4,800</w:t>
            </w:r>
          </w:p>
        </w:tc>
        <w:tc>
          <w:tcPr/>
          <w:p>
            <w:pPr>
              <w:pStyle w:val="Compact"/>
              <w:jc w:val="left"/>
            </w:pPr>
            <w:r>
              <w:t xml:space="preserve">57,600</w:t>
            </w:r>
          </w:p>
        </w:tc>
      </w:tr>
      <w:tr>
        <w:tc>
          <w:tcPr>
            <w:gridSpan w:val="4"/>
          </w:tcPr>
          <w:p>
            <w:pPr>
              <w:pStyle w:val="Compact"/>
              <w:jc w:val="right"/>
            </w:pPr>
            <w:r>
              <w:t xml:space="preserve">Subtotal (AED)</w:t>
            </w:r>
          </w:p>
        </w:tc>
        <w:tc>
          <w:tcPr/>
          <w:p>
            <w:pPr>
              <w:pStyle w:val="Compact"/>
              <w:jc w:val="left"/>
            </w:pPr>
            <w:r>
              <w:t xml:space="preserve">834,200</w:t>
            </w:r>
          </w:p>
        </w:tc>
      </w:tr>
      <w:tr>
        <w:tc>
          <w:tcPr>
            <w:gridSpan w:val="4"/>
          </w:tcPr>
          <w:p>
            <w:pPr>
              <w:pStyle w:val="Compact"/>
              <w:jc w:val="right"/>
            </w:pPr>
            <w:r>
              <w:t xml:space="preserve">VAT @ 5% (UAE)</w:t>
            </w:r>
          </w:p>
        </w:tc>
        <w:tc>
          <w:tcPr/>
          <w:p>
            <w:pPr>
              <w:pStyle w:val="Compact"/>
              <w:jc w:val="left"/>
            </w:pPr>
            <w:r>
              <w:t xml:space="preserve">41,710</w:t>
            </w:r>
          </w:p>
        </w:tc>
      </w:tr>
      <w:tr>
        <w:tc>
          <w:tcPr>
            <w:gridSpan w:val="4"/>
          </w:tcPr>
          <w:p>
            <w:pPr>
              <w:pStyle w:val="Compact"/>
              <w:jc w:val="right"/>
            </w:pPr>
            <w:r>
              <w:rPr>
                <w:bCs/>
                <w:b/>
              </w:rPr>
              <w:t xml:space="preserve">Grand Total (AED)</w:t>
            </w:r>
          </w:p>
        </w:tc>
        <w:tc>
          <w:tcPr/>
          <w:p>
            <w:pPr>
              <w:pStyle w:val="Compact"/>
              <w:jc w:val="left"/>
            </w:pPr>
            <w:r>
              <w:rPr>
                <w:bCs/>
                <w:b/>
              </w:rPr>
              <w:t xml:space="preserve">875,910</w:t>
            </w:r>
          </w:p>
        </w:tc>
      </w:tr>
    </w:tbl>
    <w:p>
      <w:pPr>
        <w:pStyle w:val="BodyText"/>
      </w:pPr>
      <w:r>
        <w:t xml:space="preserve">4. Payment Terms</w:t>
      </w:r>
    </w:p>
    <w:p>
      <w:pPr>
        <w:numPr>
          <w:ilvl w:val="0"/>
          <w:numId w:val="1001"/>
        </w:numPr>
        <w:pStyle w:val="Compact"/>
      </w:pPr>
      <w:r>
        <w:t xml:space="preserve">A non-refundable advance payment of 25% (AED 218,977.50) is due within 7 business days of acceptance of this Quotation Estimate.</w:t>
      </w:r>
    </w:p>
    <w:p>
      <w:pPr>
        <w:numPr>
          <w:ilvl w:val="0"/>
          <w:numId w:val="1001"/>
        </w:numPr>
        <w:pStyle w:val="Compact"/>
      </w:pPr>
      <w:r>
        <w:t xml:space="preserve">Remaining balance shall be invoiced quarterly in arrears, with payment due within 30 days of invoice date.</w:t>
      </w:r>
    </w:p>
    <w:p>
      <w:pPr>
        <w:numPr>
          <w:ilvl w:val="0"/>
          <w:numId w:val="1001"/>
        </w:numPr>
        <w:pStyle w:val="Compact"/>
      </w:pPr>
      <w:r>
        <w:t xml:space="preserve">All payments shall be made in UAE Dirhams (AED) via bank transfer to Meridian Academic Consulting LLC, Emirates NBD, Account No. 002-458-7712-001.</w:t>
      </w:r>
    </w:p>
    <w:p>
      <w:pPr>
        <w:numPr>
          <w:ilvl w:val="0"/>
          <w:numId w:val="1001"/>
        </w:numPr>
        <w:pStyle w:val="Compact"/>
      </w:pPr>
      <w:r>
        <w:t xml:space="preserve">Late payments shall attract a penalty of 2% per month as per UAE commercial transaction regulations.</w:t>
      </w:r>
    </w:p>
    <w:p>
      <w:pPr>
        <w:pStyle w:val="FirstParagraph"/>
      </w:pPr>
      <w:r>
        <w:t xml:space="preserve">5. Terms and Conditions</w:t>
      </w:r>
    </w:p>
    <w:p>
      <w:pPr>
        <w:numPr>
          <w:ilvl w:val="0"/>
          <w:numId w:val="1002"/>
        </w:numPr>
        <w:pStyle w:val="Compact"/>
      </w:pPr>
      <w:r>
        <w:t xml:space="preserve">This Quotation Estimate is valid for 30 calendar days from the date of issue. After the expiry date, all rates are subject to revision.</w:t>
      </w:r>
    </w:p>
    <w:p>
      <w:pPr>
        <w:numPr>
          <w:ilvl w:val="0"/>
          <w:numId w:val="1002"/>
        </w:numPr>
        <w:pStyle w:val="Compact"/>
      </w:pPr>
      <w:r>
        <w:t xml:space="preserve">The Academic Researcher shall be engaged under a fixed-term contract governed by UAE Federal Labour Law (Federal Decree-Law No. 33 of 2021). Visa, medical insurance, and end-of-service benefits are included in the monthly professional fee.</w:t>
      </w:r>
    </w:p>
    <w:p>
      <w:pPr>
        <w:numPr>
          <w:ilvl w:val="0"/>
          <w:numId w:val="1002"/>
        </w:numPr>
        <w:pStyle w:val="Compact"/>
      </w:pPr>
      <w:r>
        <w:t xml:space="preserve">All intellectual property, research data, and publications arising from this engagement shall remain the sole property of the Client, Al Noor Institute for Advanced Studies, Dubai, United Arab Emirates.</w:t>
      </w:r>
    </w:p>
    <w:p>
      <w:pPr>
        <w:numPr>
          <w:ilvl w:val="0"/>
          <w:numId w:val="1002"/>
        </w:numPr>
        <w:pStyle w:val="Compact"/>
      </w:pPr>
      <w:r>
        <w:t xml:space="preserve">The Academic Researcher is bound by a strict confidentiality and non-disclosure agreement covering all proprietary data, unpublished findings, and institutional strategies.</w:t>
      </w:r>
    </w:p>
    <w:p>
      <w:pPr>
        <w:numPr>
          <w:ilvl w:val="0"/>
          <w:numId w:val="1002"/>
        </w:numPr>
        <w:pStyle w:val="Compact"/>
      </w:pPr>
      <w:r>
        <w:t xml:space="preserve">Either party may terminate the engagement with 60 days' written notice. In the event of early termination, fees for work completed up to the termination date shall be payable in full.</w:t>
      </w:r>
    </w:p>
    <w:p>
      <w:pPr>
        <w:numPr>
          <w:ilvl w:val="0"/>
          <w:numId w:val="1002"/>
        </w:numPr>
        <w:pStyle w:val="Compact"/>
      </w:pPr>
      <w:r>
        <w:t xml:space="preserve">This Quotation Estimate does not constitute a binding contract until countersigned by both parties and the advance payment has been received.</w:t>
      </w:r>
    </w:p>
    <w:p>
      <w:pPr>
        <w:numPr>
          <w:ilvl w:val="0"/>
          <w:numId w:val="1002"/>
        </w:numPr>
        <w:pStyle w:val="Compact"/>
      </w:pPr>
      <w:r>
        <w:t xml:space="preserve">All disputes arising from this engagement shall be resolved through arbitration in Dubai under the rules of the Dubai International Arbitration Centre (DIAC).</w:t>
      </w:r>
    </w:p>
    <w:p>
      <w:pPr>
        <w:pStyle w:val="FirstParagraph"/>
      </w:pPr>
      <w:r>
        <w:t xml:space="preserve">6. Acceptance and Authorization</w:t>
      </w:r>
    </w:p>
    <w:p>
      <w:pPr>
        <w:pStyle w:val="BodyText"/>
      </w:pPr>
      <w:r>
        <w:t xml:space="preserve">By signing below, the Client acknowledges receipt of this Quotation Estimate for the Academic Researcher services in United Arab Emirates Dubai and agrees to the terms, conditions, and financial obligations outlined herein.</w:t>
      </w:r>
    </w:p>
    <w:p>
      <w:pPr>
        <w:pStyle w:val="BodyText"/>
      </w:pPr>
      <w:r>
        <w:rPr>
          <w:bCs/>
          <w:b/>
        </w:rPr>
        <w:t xml:space="preserve">For Meridian Academic Consulting LLC</w:t>
      </w:r>
      <w:r>
        <w:br/>
      </w:r>
      <w:r>
        <w:t xml:space="preserve">Name: Khalid Al Rashidi</w:t>
      </w:r>
      <w:r>
        <w:br/>
      </w:r>
      <w:r>
        <w:t xml:space="preserve">Title: Managing Director</w:t>
      </w:r>
      <w:r>
        <w:br/>
      </w:r>
      <w:r>
        <w:t xml:space="preserve">Date: _______________</w:t>
      </w:r>
    </w:p>
    <w:p>
      <w:pPr>
        <w:pStyle w:val="BodyText"/>
      </w:pPr>
      <w:r>
        <w:rPr>
          <w:bCs/>
          <w:b/>
        </w:rPr>
        <w:t xml:space="preserve">For Al Noor Institute for Advanced Studies</w:t>
      </w:r>
      <w:r>
        <w:br/>
      </w:r>
      <w:r>
        <w:t xml:space="preserve">Name: Dr. Fatima Al Mansouri</w:t>
      </w:r>
      <w:r>
        <w:br/>
      </w:r>
      <w:r>
        <w:t xml:space="preserve">Title: Director of Research</w:t>
      </w:r>
      <w:r>
        <w:br/>
      </w:r>
      <w:r>
        <w:t xml:space="preserve">Date: _______________</w:t>
      </w:r>
    </w:p>
    <w:p>
      <w:pPr>
        <w:pStyle w:val="BodyText"/>
      </w:pPr>
      <w:r>
        <w:rPr>
          <w:bCs/>
          <w:b/>
        </w:rPr>
        <w:t xml:space="preserve">Important Notice:</w:t>
      </w:r>
      <w:r>
        <w:t xml:space="preserve"> </w:t>
      </w:r>
      <w:r>
        <w:t xml:space="preserve">This Quotation Estimate has been prepared specifically for the named Client and is non-transferable. All rates are quoted in UAE Dirhams (AED) and are inclusive of applicable UAE Value Added Tax (VAT) at 5%. Meridian Academic Consulting LLC reserves the right to amend this Quotation Estimate in writing with mutual consent. For queries regarding this estimate, please contact our Dubai office at +971 4 555 0192 or quotations@meridianacademic.ae. This document is governed by the laws of the United Arab Emirates, Dubai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United Arab Emirates Dubai</dc:title>
  <dc:creator/>
  <dc:language>en</dc:language>
  <cp:keywords/>
  <dcterms:created xsi:type="dcterms:W3CDTF">2026-10-10T09:09:20Z</dcterms:created>
  <dcterms:modified xsi:type="dcterms:W3CDTF">2026-10-10T09:09:20Z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