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Serving the United States Miami Metropolitan Area</w:t>
      </w:r>
    </w:p>
    <w:bookmarkEnd w:id="20"/>
    <w:bookmarkStart w:id="21" w:name="document-information"/>
    <w:p>
      <w:pPr>
        <w:pStyle w:val="Heading2"/>
      </w:pPr>
      <w:r>
        <w:t xml:space="preserve">Document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QTE-MIA-2025-04871</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Currency</w:t>
            </w:r>
          </w:p>
        </w:tc>
        <w:tc>
          <w:tcPr/>
          <w:p>
            <w:pPr>
              <w:pStyle w:val="Compact"/>
              <w:jc w:val="left"/>
            </w:pPr>
            <w:r>
              <w:t xml:space="preserve">United States Dollars (USD)</w:t>
            </w:r>
          </w:p>
        </w:tc>
      </w:tr>
    </w:tbl>
    <w:bookmarkEnd w:id="21"/>
    <w:bookmarkStart w:id="22" w:name="prepared-for-client"/>
    <w:p>
      <w:pPr>
        <w:pStyle w:val="Heading2"/>
      </w:pPr>
      <w:r>
        <w:t xml:space="preserve">Prepared For (Client)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University of Miami Research Institute</w:t>
            </w:r>
          </w:p>
        </w:tc>
      </w:tr>
      <w:tr>
        <w:tc>
          <w:tcPr/>
          <w:p>
            <w:pPr>
              <w:pStyle w:val="Compact"/>
              <w:jc w:val="left"/>
            </w:pPr>
            <w:r>
              <w:t xml:space="preserve">Department</w:t>
            </w:r>
          </w:p>
        </w:tc>
        <w:tc>
          <w:tcPr/>
          <w:p>
            <w:pPr>
              <w:pStyle w:val="Compact"/>
              <w:jc w:val="left"/>
            </w:pPr>
            <w:r>
              <w:t xml:space="preserve">Department of Interdisciplinary Studies</w:t>
            </w:r>
          </w:p>
        </w:tc>
      </w:tr>
      <w:tr>
        <w:tc>
          <w:tcPr/>
          <w:p>
            <w:pPr>
              <w:pStyle w:val="Compact"/>
              <w:jc w:val="left"/>
            </w:pPr>
            <w:r>
              <w:t xml:space="preserve">Address</w:t>
            </w:r>
          </w:p>
        </w:tc>
        <w:tc>
          <w:tcPr/>
          <w:p>
            <w:pPr>
              <w:pStyle w:val="Compact"/>
              <w:jc w:val="left"/>
            </w:pPr>
            <w:r>
              <w:t xml:space="preserve">1300 Coral Way, Miami, FL 33146, United States</w:t>
            </w:r>
          </w:p>
        </w:tc>
      </w:tr>
      <w:tr>
        <w:tc>
          <w:tcPr/>
          <w:p>
            <w:pPr>
              <w:pStyle w:val="Compact"/>
              <w:jc w:val="left"/>
            </w:pPr>
            <w:r>
              <w:t xml:space="preserve">Contact Person</w:t>
            </w:r>
          </w:p>
        </w:tc>
        <w:tc>
          <w:tcPr/>
          <w:p>
            <w:pPr>
              <w:pStyle w:val="Compact"/>
              <w:jc w:val="left"/>
            </w:pPr>
            <w:r>
              <w:t xml:space="preserve">Dr. Elena Vasquez, Director of Research Operations</w:t>
            </w:r>
          </w:p>
        </w:tc>
      </w:tr>
      <w:tr>
        <w:tc>
          <w:tcPr/>
          <w:p>
            <w:pPr>
              <w:pStyle w:val="Compact"/>
              <w:jc w:val="left"/>
            </w:pPr>
            <w:r>
              <w:t xml:space="preserve">Email</w:t>
            </w:r>
          </w:p>
        </w:tc>
        <w:tc>
          <w:tcPr/>
          <w:p>
            <w:pPr>
              <w:pStyle w:val="Compact"/>
              <w:jc w:val="left"/>
            </w:pPr>
            <w:r>
              <w:t xml:space="preserve">e.vasquez@miami.edu</w:t>
            </w:r>
          </w:p>
        </w:tc>
      </w:tr>
    </w:tbl>
    <w:bookmarkEnd w:id="22"/>
    <w:bookmarkStart w:id="23" w:name="prepared-by-service-provider"/>
    <w:p>
      <w:pPr>
        <w:pStyle w:val="Heading2"/>
      </w:pPr>
      <w:r>
        <w:t xml:space="preserve">Prepared By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w:t>
            </w:r>
          </w:p>
        </w:tc>
        <w:tc>
          <w:tcPr/>
          <w:p>
            <w:pPr>
              <w:pStyle w:val="Compact"/>
              <w:jc w:val="left"/>
            </w:pPr>
            <w:r>
              <w:t xml:space="preserve">Palm Research Consulting Group, LLC</w:t>
            </w:r>
          </w:p>
        </w:tc>
      </w:tr>
      <w:tr>
        <w:tc>
          <w:tcPr/>
          <w:p>
            <w:pPr>
              <w:pStyle w:val="Compact"/>
              <w:jc w:val="left"/>
            </w:pPr>
            <w:r>
              <w:t xml:space="preserve">Address</w:t>
            </w:r>
          </w:p>
        </w:tc>
        <w:tc>
          <w:tcPr/>
          <w:p>
            <w:pPr>
              <w:pStyle w:val="Compact"/>
              <w:jc w:val="left"/>
            </w:pPr>
            <w:r>
              <w:t xml:space="preserve">200 Biscayne Blvd, Suite 1400, Miami, FL 33132, United States</w:t>
            </w:r>
          </w:p>
        </w:tc>
      </w:tr>
      <w:tr>
        <w:tc>
          <w:tcPr/>
          <w:p>
            <w:pPr>
              <w:pStyle w:val="Compact"/>
              <w:jc w:val="left"/>
            </w:pPr>
            <w:r>
              <w:t xml:space="preserve">Phone</w:t>
            </w:r>
          </w:p>
        </w:tc>
        <w:tc>
          <w:tcPr/>
          <w:p>
            <w:pPr>
              <w:pStyle w:val="Compact"/>
              <w:jc w:val="left"/>
            </w:pPr>
            <w:r>
              <w:t xml:space="preserve">(305) 555-0192</w:t>
            </w:r>
          </w:p>
        </w:tc>
      </w:tr>
      <w:tr>
        <w:tc>
          <w:tcPr/>
          <w:p>
            <w:pPr>
              <w:pStyle w:val="Compact"/>
              <w:jc w:val="left"/>
            </w:pPr>
            <w:r>
              <w:t xml:space="preserve">Email</w:t>
            </w:r>
          </w:p>
        </w:tc>
        <w:tc>
          <w:tcPr/>
          <w:p>
            <w:pPr>
              <w:pStyle w:val="Compact"/>
              <w:jc w:val="left"/>
            </w:pPr>
            <w:r>
              <w:t xml:space="preserve">quotes@palresearchconsulting.com</w:t>
            </w:r>
          </w:p>
        </w:tc>
      </w:tr>
      <w:tr>
        <w:tc>
          <w:tcPr/>
          <w:p>
            <w:pPr>
              <w:pStyle w:val="Compact"/>
              <w:jc w:val="left"/>
            </w:pPr>
            <w:r>
              <w:t xml:space="preserve">Tax ID (EIN)</w:t>
            </w:r>
          </w:p>
        </w:tc>
        <w:tc>
          <w:tcPr/>
          <w:p>
            <w:pPr>
              <w:pStyle w:val="Compact"/>
              <w:jc w:val="left"/>
            </w:pPr>
            <w:r>
              <w:t xml:space="preserve">82-4471903</w:t>
            </w:r>
          </w:p>
        </w:tc>
      </w:tr>
    </w:tbl>
    <w:bookmarkEnd w:id="23"/>
    <w:bookmarkStart w:id="24" w:name="Xbc3cca5d43434a430a0f2d92f9e5020ea4b96a2"/>
    <w:p>
      <w:pPr>
        <w:pStyle w:val="Heading2"/>
      </w:pPr>
      <w:r>
        <w:t xml:space="preserve">Scope of Work: Academic Researcher Engagement</w:t>
      </w:r>
    </w:p>
    <w:p>
      <w:pPr>
        <w:pStyle w:val="FirstParagraph"/>
      </w:pPr>
      <w:r>
        <w:t xml:space="preserve">This Quotation Estimate is issued by Palm Research Consulting Group, LLC to formally propose the engagement of a qualified Academic Researcher to support the University of Miami Research Institute in conducting a comprehensive interdisciplinary study on urban sustainability and climate adaptation strategies within the United States Miami metropolitan region. The Academic Researcher will be responsible for designing the research methodology, collecting and analyzing primary and secondary data, conducting fieldwork across Miami-Dade County, and producing a peer-review-ready manuscript suitable for publication in a high-impact academic journal.</w:t>
      </w:r>
    </w:p>
    <w:p>
      <w:pPr>
        <w:pStyle w:val="BodyText"/>
      </w:pPr>
      <w:r>
        <w:t xml:space="preserve">The engagement period is estimated at twelve (12) months, commencing upon written acceptance of this Quotation Estimate. The Academic Researcher will operate primarily from the client's facilities in Miami, Florida, United States, with periodic travel to partner institutions in the greater Miami area, including the Florida International University campus in North Miami and the Miami-Dade Public Library system for archival research.</w:t>
      </w:r>
    </w:p>
    <w:bookmarkEnd w:id="24"/>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Rate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Academic Researcher – Monthly Professional Fee (PhD-level, 10+ years experience in environmental and urban studies)</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2</w:t>
            </w:r>
          </w:p>
        </w:tc>
        <w:tc>
          <w:tcPr/>
          <w:p>
            <w:pPr>
              <w:pStyle w:val="Compact"/>
              <w:jc w:val="left"/>
            </w:pPr>
            <w:r>
              <w:t xml:space="preserve">Research Methodology Design &amp; Literature Review (initial 6-week phase)</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r>
        <w:tc>
          <w:tcPr/>
          <w:p>
            <w:pPr>
              <w:pStyle w:val="Compact"/>
              <w:jc w:val="left"/>
            </w:pPr>
            <w:r>
              <w:t xml:space="preserve">3</w:t>
            </w:r>
          </w:p>
        </w:tc>
        <w:tc>
          <w:tcPr/>
          <w:p>
            <w:pPr>
              <w:pStyle w:val="Compact"/>
              <w:jc w:val="left"/>
            </w:pPr>
            <w:r>
              <w:t xml:space="preserve">Fieldwork &amp; Data Collection in Miami-Dade County (includes travel, permits, and local transportation within United States Miami area)</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4</w:t>
            </w:r>
          </w:p>
        </w:tc>
        <w:tc>
          <w:tcPr/>
          <w:p>
            <w:pPr>
              <w:pStyle w:val="Compact"/>
              <w:jc w:val="left"/>
            </w:pPr>
            <w:r>
              <w:t xml:space="preserve">Data Analysis &amp; Statistical Modeling (using SPSS, R, and GIS software)</w:t>
            </w:r>
          </w:p>
        </w:tc>
        <w:tc>
          <w:tcPr/>
          <w:p>
            <w:pPr>
              <w:pStyle w:val="Compact"/>
              <w:jc w:val="center"/>
            </w:pPr>
            <w:r>
              <w:t xml:space="preserve">1</w:t>
            </w:r>
          </w:p>
        </w:tc>
        <w:tc>
          <w:tcPr/>
          <w:p>
            <w:pPr>
              <w:pStyle w:val="Compact"/>
              <w:jc w:val="right"/>
            </w:pPr>
            <w:r>
              <w:t xml:space="preserve">$9,750.00</w:t>
            </w:r>
          </w:p>
        </w:tc>
        <w:tc>
          <w:tcPr/>
          <w:p>
            <w:pPr>
              <w:pStyle w:val="Compact"/>
              <w:jc w:val="right"/>
            </w:pPr>
            <w:r>
              <w:t xml:space="preserve">$9,750.00</w:t>
            </w:r>
          </w:p>
        </w:tc>
      </w:tr>
      <w:tr>
        <w:tc>
          <w:tcPr/>
          <w:p>
            <w:pPr>
              <w:pStyle w:val="Compact"/>
              <w:jc w:val="left"/>
            </w:pPr>
            <w:r>
              <w:t xml:space="preserve">5</w:t>
            </w:r>
          </w:p>
        </w:tc>
        <w:tc>
          <w:tcPr/>
          <w:p>
            <w:pPr>
              <w:pStyle w:val="Compact"/>
              <w:jc w:val="left"/>
            </w:pPr>
            <w:r>
              <w:t xml:space="preserve">Manuscript Preparation &amp; Peer-Review Submission Support</w:t>
            </w:r>
          </w:p>
        </w:tc>
        <w:tc>
          <w:tcPr/>
          <w:p>
            <w:pPr>
              <w:pStyle w:val="Compact"/>
              <w:jc w:val="center"/>
            </w:pPr>
            <w:r>
              <w:t xml:space="preserve">1</w:t>
            </w:r>
          </w:p>
        </w:tc>
        <w:tc>
          <w:tcPr/>
          <w:p>
            <w:pPr>
              <w:pStyle w:val="Compact"/>
              <w:jc w:val="right"/>
            </w:pPr>
            <w:r>
              <w:t xml:space="preserve">$7,200.00</w:t>
            </w:r>
          </w:p>
        </w:tc>
        <w:tc>
          <w:tcPr/>
          <w:p>
            <w:pPr>
              <w:pStyle w:val="Compact"/>
              <w:jc w:val="right"/>
            </w:pPr>
            <w:r>
              <w:t xml:space="preserve">$7,200.00</w:t>
            </w:r>
          </w:p>
        </w:tc>
      </w:tr>
      <w:tr>
        <w:tc>
          <w:tcPr/>
          <w:p>
            <w:pPr>
              <w:pStyle w:val="Compact"/>
              <w:jc w:val="left"/>
            </w:pPr>
            <w:r>
              <w:t xml:space="preserve">6</w:t>
            </w:r>
          </w:p>
        </w:tc>
        <w:tc>
          <w:tcPr/>
          <w:p>
            <w:pPr>
              <w:pStyle w:val="Compact"/>
              <w:jc w:val="left"/>
            </w:pPr>
            <w:r>
              <w:t xml:space="preserve">Conference Presentation – Miami International Research Symposium (registration, travel, and accommodation)</w:t>
            </w:r>
          </w:p>
        </w:tc>
        <w:tc>
          <w:tcPr/>
          <w:p>
            <w:pPr>
              <w:pStyle w:val="Compact"/>
              <w:jc w:val="center"/>
            </w:pPr>
            <w:r>
              <w:t xml:space="preserve">1</w:t>
            </w:r>
          </w:p>
        </w:tc>
        <w:tc>
          <w:tcPr/>
          <w:p>
            <w:pPr>
              <w:pStyle w:val="Compact"/>
              <w:jc w:val="right"/>
            </w:pPr>
            <w:r>
              <w:t xml:space="preserve">$3,400.00</w:t>
            </w:r>
          </w:p>
        </w:tc>
        <w:tc>
          <w:tcPr/>
          <w:p>
            <w:pPr>
              <w:pStyle w:val="Compact"/>
              <w:jc w:val="right"/>
            </w:pPr>
            <w:r>
              <w:t xml:space="preserve">$3,400.00</w:t>
            </w:r>
          </w:p>
        </w:tc>
      </w:tr>
      <w:tr>
        <w:tc>
          <w:tcPr/>
          <w:p>
            <w:pPr>
              <w:pStyle w:val="Compact"/>
              <w:jc w:val="left"/>
            </w:pPr>
            <w:r>
              <w:t xml:space="preserve">7</w:t>
            </w:r>
          </w:p>
        </w:tc>
        <w:tc>
          <w:tcPr/>
          <w:p>
            <w:pPr>
              <w:pStyle w:val="Compact"/>
              <w:jc w:val="left"/>
            </w:pPr>
            <w:r>
              <w:t xml:space="preserve">Administrative &amp; Project Management Overhead (10%)</w:t>
            </w:r>
          </w:p>
        </w:tc>
        <w:tc>
          <w:tcPr/>
          <w:p>
            <w:pPr>
              <w:pStyle w:val="Compact"/>
              <w:jc w:val="center"/>
            </w:pPr>
            <w:r>
              <w:t xml:space="preserve">1</w:t>
            </w:r>
          </w:p>
        </w:tc>
        <w:tc>
          <w:tcPr/>
          <w:p>
            <w:pPr>
              <w:pStyle w:val="Compact"/>
              <w:jc w:val="right"/>
            </w:pPr>
            <w:r>
              <w:t xml:space="preserve">$15,285.00</w:t>
            </w:r>
          </w:p>
        </w:tc>
        <w:tc>
          <w:tcPr/>
          <w:p>
            <w:pPr>
              <w:pStyle w:val="Compact"/>
              <w:jc w:val="right"/>
            </w:pPr>
            <w:r>
              <w:t xml:space="preserve">$15,285.00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$168,135.00</w:t>
            </w:r>
          </w:p>
        </w:tc>
      </w:tr>
      <w:tr>
        <w:tc>
          <w:tcPr/>
          <w:p>
            <w:pPr>
              <w:pStyle w:val="Compact"/>
              <w:jc w:val="left"/>
            </w:pPr>
            <w:r>
              <w:t xml:space="preserve">Florida State Sales Tax (7.0%)</w:t>
            </w:r>
          </w:p>
        </w:tc>
        <w:tc>
          <w:tcPr/>
          <w:p>
            <w:pPr>
              <w:pStyle w:val="Compact"/>
              <w:jc w:val="right"/>
            </w:pPr>
            <w:r>
              <w:t xml:space="preserve">$11,769.45</w:t>
            </w:r>
          </w:p>
        </w:tc>
      </w:tr>
      <w:tr>
        <w:tc>
          <w:tcPr/>
          <w:p>
            <w:pPr>
              <w:pStyle w:val="Compact"/>
              <w:jc w:val="left"/>
            </w:pPr>
            <w:r>
              <w:t xml:space="preserve">TOTAL ESTIMATED COST</w:t>
            </w:r>
          </w:p>
        </w:tc>
        <w:tc>
          <w:tcPr/>
          <w:p>
            <w:pPr>
              <w:pStyle w:val="Compact"/>
              <w:jc w:val="right"/>
            </w:pPr>
            <w:r>
              <w:t xml:space="preserve">$179,904.45</w:t>
            </w:r>
          </w:p>
        </w:tc>
      </w:tr>
    </w:tbl>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all rates and availability of the Academic Researcher are subject to re-evaluation.</w:t>
      </w:r>
    </w:p>
    <w:p>
      <w:pPr>
        <w:numPr>
          <w:ilvl w:val="0"/>
          <w:numId w:val="1001"/>
        </w:numPr>
        <w:pStyle w:val="Compact"/>
      </w:pPr>
      <w:r>
        <w:t xml:space="preserve">Payment terms: 40% upon execution of the service agreement, 30% at the midpoint of the engagement (month six), and 30% upon final delivery of the completed manuscript and all supporting documentation.</w:t>
      </w:r>
    </w:p>
    <w:p>
      <w:pPr>
        <w:numPr>
          <w:ilvl w:val="0"/>
          <w:numId w:val="1001"/>
        </w:numPr>
        <w:pStyle w:val="Compact"/>
      </w:pPr>
      <w:r>
        <w:t xml:space="preserve">All work performed by the Academic Researcher under this Quotation Estimate shall be conducted in compliance with the ethical standards of the American Association for the Advancement of Science (AAAS) and the institutional review board (IRB) guidelines of the client organization.</w:t>
      </w:r>
    </w:p>
    <w:p>
      <w:pPr>
        <w:numPr>
          <w:ilvl w:val="0"/>
          <w:numId w:val="1001"/>
        </w:numPr>
        <w:pStyle w:val="Compact"/>
      </w:pPr>
      <w:r>
        <w:t xml:space="preserve">The Academic Researcher shall maintain professional liability insurance with a minimum coverage of $2,000,000 per occurrence, valid throughout the United States and specifically covering operations within the state of Florida.</w:t>
      </w:r>
    </w:p>
    <w:p>
      <w:pPr>
        <w:numPr>
          <w:ilvl w:val="0"/>
          <w:numId w:val="1001"/>
        </w:numPr>
        <w:pStyle w:val="Compact"/>
      </w:pPr>
      <w:r>
        <w:t xml:space="preserve">Any changes to the scope of work must be documented in a written change order signed by both parties. Additional costs arising from scope changes will be itemized in a supplementary Quotation Estimate prior to implementation.</w:t>
      </w:r>
    </w:p>
    <w:p>
      <w:pPr>
        <w:numPr>
          <w:ilvl w:val="0"/>
          <w:numId w:val="1001"/>
        </w:numPr>
        <w:pStyle w:val="Compact"/>
      </w:pPr>
      <w:r>
        <w:t xml:space="preserve">All intellectual property produced under this engagement shall be jointly owned by the client and the service provider, unless otherwise specified in the master service agreement. The Academic Researcher retains the right to cite the work in future academic publications with prior written consent from the client.</w:t>
      </w:r>
    </w:p>
    <w:p>
      <w:pPr>
        <w:numPr>
          <w:ilvl w:val="0"/>
          <w:numId w:val="1001"/>
        </w:numPr>
        <w:pStyle w:val="Compact"/>
      </w:pPr>
      <w:r>
        <w:t xml:space="preserve">This Quotation Estimate is governed by the laws of the State of Florida, United States. Any disputes arising from this document shall be resolved through binding arbitration in Miami, Florida, in accordance with the rules of the American Arbitration Association.</w:t>
      </w:r>
    </w:p>
    <w:p>
      <w:pPr>
        <w:numPr>
          <w:ilvl w:val="0"/>
          <w:numId w:val="1001"/>
        </w:numPr>
        <w:pStyle w:val="Compact"/>
      </w:pPr>
      <w:r>
        <w:t xml:space="preserve">The service provider reserves the right to substitute the assigned Academic Researcher with a qualified equivalent if the original researcher becomes unavailable, provided that the substitute meets or exceeds the qualifications outlined in this Quotation Estimate.</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herein for the engagement of the Academic Researcher in the United States Miami area.</w:t>
      </w:r>
    </w:p>
    <w:tbl>
      <w:tblPr>
        <w:tblStyle w:val="Table"/>
        <w:tblW w:type="pct" w:w="5000"/>
        <w:tblLook w:firstRow="0" w:lastRow="0" w:firstColumn="0" w:lastColumn="0" w:noHBand="0" w:noVBand="0" w:val="0000"/>
      </w:tblPr>
      <w:tblGrid>
        <w:gridCol w:w="3960"/>
        <w:gridCol w:w="3960"/>
      </w:tblGrid>
      <w:tr>
        <w:tc>
          <w:tcPr/>
          <w:p>
            <w:pPr>
              <w:jc w:val="left"/>
            </w:pPr>
            <w:r>
              <w:t xml:space="preserve">Client Signature:</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c>
          <w:tcPr/>
          <w:p>
            <w:pPr>
              <w:jc w:val="left"/>
            </w:pPr>
            <w:r>
              <w:t xml:space="preserve">Service Provider Signature:</w:t>
            </w:r>
          </w:p>
          <w:p>
            <w:pPr>
              <w:jc w:val="left"/>
            </w:pPr>
            <w:r>
              <w:t xml:space="preserve">Name: ___________________________</w:t>
            </w:r>
          </w:p>
          <w:p>
            <w:pPr>
              <w:jc w:val="left"/>
            </w:pPr>
            <w:r>
              <w:t xml:space="preserve">Title: ___________________________</w:t>
            </w:r>
          </w:p>
          <w:p>
            <w:pPr>
              <w:jc w:val="left"/>
            </w:pPr>
            <w:r>
              <w:t xml:space="preserve">Date: ___________________________</w:t>
            </w:r>
          </w:p>
        </w:tc>
      </w:tr>
    </w:tbl>
    <w:bookmarkEnd w:id="27"/>
    <w:p>
      <w:pPr>
        <w:pStyle w:val="BodyText"/>
      </w:pPr>
      <w:r>
        <w:t xml:space="preserve">Palm Research Consulting Group, LLC | 200 Biscayne Blvd, Suite 1400, Miami, FL 33132, United States | (305) 555-0192 | quotes@palresearchconsulting.com</w:t>
      </w:r>
    </w:p>
    <w:p>
      <w:pPr>
        <w:pStyle w:val="BodyText"/>
      </w:pPr>
      <w:r>
        <w:t xml:space="preserve">This Quotation Estimate document is confidential and intended solely for the named recipient. Unauthorized reproduction or distribution is prohibited. Quotation Estimate No. QTE-MIA-2025-04871.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States Miami</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