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Tashkent,</w:t>
      </w:r>
      <w:r>
        <w:t xml:space="preserve"> </w:t>
      </w:r>
      <w:r>
        <w:t xml:space="preserve">Uzbekistan</w:t>
      </w:r>
    </w:p>
    <w:bookmarkStart w:id="20" w:name="quotation-estimate"/>
    <w:p>
      <w:pPr>
        <w:pStyle w:val="Heading1"/>
      </w:pPr>
      <w:r>
        <w:t xml:space="preserve">QUOTATION ESTIMATE</w:t>
      </w:r>
    </w:p>
    <w:p>
      <w:pPr>
        <w:pStyle w:val="FirstParagraph"/>
      </w:pPr>
      <w:r>
        <w:t xml:space="preserve">Professional Academic Researcher Services</w:t>
      </w:r>
    </w:p>
    <w:p>
      <w:pPr>
        <w:pStyle w:val="BodyText"/>
      </w:pPr>
      <w:r>
        <w:t xml:space="preserve">Tashkent, Uzbekistan</w:t>
      </w:r>
    </w:p>
    <w:p>
      <w:pPr>
        <w:pStyle w:val="BodyText"/>
      </w:pPr>
      <w:r>
        <w:t xml:space="preserve">Document No. QE-2025-TK-0472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Central Asian Academic Consulting Group</w:t>
      </w:r>
    </w:p>
    <w:p>
      <w:pPr>
        <w:pStyle w:val="BodyText"/>
      </w:pPr>
      <w:r>
        <w:rPr>
          <w:bCs/>
          <w:b/>
        </w:rPr>
        <w:t xml:space="preserve">Prepared For:</w:t>
      </w:r>
      <w:r>
        <w:t xml:space="preserve"> </w:t>
      </w:r>
      <w:r>
        <w:t xml:space="preserve">[Client Name / Institution]</w:t>
      </w:r>
      <w:r>
        <w:br/>
      </w:r>
      <w:r>
        <w:rPr>
          <w:bCs/>
          <w:b/>
        </w:rPr>
        <w:t xml:space="preserve">Address:</w:t>
      </w:r>
      <w:r>
        <w:t xml:space="preserve"> </w:t>
      </w:r>
      <w:r>
        <w:t xml:space="preserve">Tashkent, Uzbekistan</w:t>
      </w:r>
      <w:r>
        <w:br/>
      </w:r>
      <w:r>
        <w:rPr>
          <w:bCs/>
          <w:b/>
        </w:rPr>
        <w:t xml:space="preserve">Contact:</w:t>
      </w:r>
      <w:r>
        <w:t xml:space="preserve"> </w:t>
      </w:r>
      <w:r>
        <w:t xml:space="preserve">[Client Email / Phone]</w:t>
      </w:r>
    </w:p>
    <w:bookmarkStart w:id="21" w:name="X0c7581080508d578c26b6d8dfd726c7e3ca5cc9"/>
    <w:p>
      <w:pPr>
        <w:pStyle w:val="Heading2"/>
      </w:pPr>
      <w:r>
        <w:t xml:space="preserve">1. Purpose and Scope of This Quotation Estimate</w:t>
      </w:r>
    </w:p>
    <w:p>
      <w:pPr>
        <w:pStyle w:val="FirstParagraph"/>
      </w:pPr>
      <w:r>
        <w:t xml:space="preserve">This Quotation Estimate is issued by Central Asian Academic Consulting Group, a registered professional services firm operating in Tashkent, Uzbekistan, to provide a comprehensive and itemized cost breakdown for the engagement of a qualified Academic Researcher. The services described herein are tailored to meet the specific research, analytical, and scholarly requirements of the requesting institution or individual client based in Tashkent, Uzbekistan. This document serves as a formal Quotation Estimate and does not constitute a binding contract until both parties have executed a separate Service Agreement in accordance with the laws of the Republic of Uzbekistan.</w:t>
      </w:r>
    </w:p>
    <w:p>
      <w:pPr>
        <w:pStyle w:val="BodyText"/>
      </w:pPr>
      <w:r>
        <w:t xml:space="preserve">The Academic Researcher to be engaged under this Quotation Estimate will possess a minimum of a Doctoral degree (PhD) in a relevant discipline, a minimum of five (5) years of post-doctoral research experience, and demonstrated familiarity with the academic landscape, regulatory environment, and institutional frameworks specific to Uzbekistan. The researcher will be based in Tashkent and will conduct all primary work activities within the Tashkent metropolitan area unless otherwise agreed upon in writing.</w:t>
      </w:r>
    </w:p>
    <w:bookmarkEnd w:id="21"/>
    <w:bookmarkStart w:id="22" w:name="Xee5d00c99fbaf3124ff509c498f6909e4ce5d3e"/>
    <w:p>
      <w:pPr>
        <w:pStyle w:val="Heading2"/>
      </w:pPr>
      <w:r>
        <w:t xml:space="preserve">2. Detailed Service Breakdown and Cost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Notes</w:t>
            </w:r>
          </w:p>
        </w:tc>
      </w:tr>
      <w:tr>
        <w:tc>
          <w:tcPr/>
          <w:p>
            <w:pPr>
              <w:pStyle w:val="Compact"/>
              <w:jc w:val="left"/>
            </w:pPr>
            <w:r>
              <w:t xml:space="preserve">2.1</w:t>
            </w:r>
          </w:p>
        </w:tc>
        <w:tc>
          <w:tcPr/>
          <w:p>
            <w:pPr>
              <w:pStyle w:val="Compact"/>
              <w:jc w:val="left"/>
            </w:pPr>
            <w:r>
              <w:t xml:space="preserve">Initial consultation, literature review, and research scope definition for the Academic Researcher engagement in Tashkent, Uzbekistan</w:t>
            </w:r>
          </w:p>
        </w:tc>
        <w:tc>
          <w:tcPr/>
          <w:p>
            <w:pPr>
              <w:pStyle w:val="Compact"/>
              <w:jc w:val="left"/>
            </w:pPr>
            <w:r>
              <w:t xml:space="preserve">5 working days</w:t>
            </w:r>
          </w:p>
        </w:tc>
        <w:tc>
          <w:tcPr/>
          <w:p>
            <w:pPr>
              <w:pStyle w:val="Compact"/>
              <w:jc w:val="left"/>
            </w:pPr>
            <w:r>
              <w:t xml:space="preserve">$120 / day</w:t>
            </w:r>
          </w:p>
        </w:tc>
        <w:tc>
          <w:tcPr/>
          <w:p>
            <w:pPr>
              <w:pStyle w:val="Compact"/>
              <w:jc w:val="left"/>
            </w:pPr>
            <w:r>
              <w:t xml:space="preserve">$600.00</w:t>
            </w:r>
          </w:p>
        </w:tc>
        <w:tc>
          <w:tcPr/>
          <w:p>
            <w:pPr>
              <w:pStyle w:val="Compact"/>
              <w:jc w:val="left"/>
            </w:pPr>
            <w:r>
              <w:t xml:space="preserve">Includes on-site meeting at Tashkent office</w:t>
            </w:r>
          </w:p>
        </w:tc>
      </w:tr>
      <w:tr>
        <w:tc>
          <w:tcPr/>
          <w:p>
            <w:pPr>
              <w:pStyle w:val="Compact"/>
              <w:jc w:val="left"/>
            </w:pPr>
            <w:r>
              <w:t xml:space="preserve">2.2</w:t>
            </w:r>
          </w:p>
        </w:tc>
        <w:tc>
          <w:tcPr/>
          <w:p>
            <w:pPr>
              <w:pStyle w:val="Compact"/>
              <w:jc w:val="left"/>
            </w:pPr>
            <w:r>
              <w:t xml:space="preserve">Design and development of research methodology, data collection instruments, and analytical framework</w:t>
            </w:r>
          </w:p>
        </w:tc>
        <w:tc>
          <w:tcPr/>
          <w:p>
            <w:pPr>
              <w:pStyle w:val="Compact"/>
              <w:jc w:val="left"/>
            </w:pPr>
            <w:r>
              <w:t xml:space="preserve">10 working days</w:t>
            </w:r>
          </w:p>
        </w:tc>
        <w:tc>
          <w:tcPr/>
          <w:p>
            <w:pPr>
              <w:pStyle w:val="Compact"/>
              <w:jc w:val="left"/>
            </w:pPr>
            <w:r>
              <w:t xml:space="preserve">$150 / day</w:t>
            </w:r>
          </w:p>
        </w:tc>
        <w:tc>
          <w:tcPr/>
          <w:p>
            <w:pPr>
              <w:pStyle w:val="Compact"/>
              <w:jc w:val="left"/>
            </w:pPr>
            <w:r>
              <w:t xml:space="preserve">$1,500.00</w:t>
            </w:r>
          </w:p>
        </w:tc>
        <w:tc>
          <w:tcPr/>
          <w:p>
            <w:pPr>
              <w:pStyle w:val="Compact"/>
              <w:jc w:val="left"/>
            </w:pPr>
            <w:r>
              <w:t xml:space="preserve">Peer-reviewed methodology documentation</w:t>
            </w:r>
          </w:p>
        </w:tc>
      </w:tr>
      <w:tr>
        <w:tc>
          <w:tcPr/>
          <w:p>
            <w:pPr>
              <w:pStyle w:val="Compact"/>
              <w:jc w:val="left"/>
            </w:pPr>
            <w:r>
              <w:t xml:space="preserve">2.3</w:t>
            </w:r>
          </w:p>
        </w:tc>
        <w:tc>
          <w:tcPr/>
          <w:p>
            <w:pPr>
              <w:pStyle w:val="Compact"/>
              <w:jc w:val="left"/>
            </w:pPr>
            <w:r>
              <w:t xml:space="preserve">Primary data collection, fieldwork coordination, and stakeholder interviews within Tashkent and surrounding regions of Uzbekistan</w:t>
            </w:r>
          </w:p>
        </w:tc>
        <w:tc>
          <w:tcPr/>
          <w:p>
            <w:pPr>
              <w:pStyle w:val="Compact"/>
              <w:jc w:val="left"/>
            </w:pPr>
            <w:r>
              <w:t xml:space="preserve">20 working days</w:t>
            </w:r>
          </w:p>
        </w:tc>
        <w:tc>
          <w:tcPr/>
          <w:p>
            <w:pPr>
              <w:pStyle w:val="Compact"/>
              <w:jc w:val="left"/>
            </w:pPr>
            <w:r>
              <w:t xml:space="preserve">$175 / day</w:t>
            </w:r>
          </w:p>
        </w:tc>
        <w:tc>
          <w:tcPr/>
          <w:p>
            <w:pPr>
              <w:pStyle w:val="Compact"/>
              <w:jc w:val="left"/>
            </w:pPr>
            <w:r>
              <w:t xml:space="preserve">$3,500.00</w:t>
            </w:r>
          </w:p>
        </w:tc>
        <w:tc>
          <w:tcPr/>
          <w:p>
            <w:pPr>
              <w:pStyle w:val="Compact"/>
              <w:jc w:val="left"/>
            </w:pPr>
            <w:r>
              <w:t xml:space="preserve">Travel within Tashkent region included</w:t>
            </w:r>
          </w:p>
        </w:tc>
      </w:tr>
      <w:tr>
        <w:tc>
          <w:tcPr/>
          <w:p>
            <w:pPr>
              <w:pStyle w:val="Compact"/>
              <w:jc w:val="left"/>
            </w:pPr>
            <w:r>
              <w:t xml:space="preserve">2.4</w:t>
            </w:r>
          </w:p>
        </w:tc>
        <w:tc>
          <w:tcPr/>
          <w:p>
            <w:pPr>
              <w:pStyle w:val="Compact"/>
              <w:jc w:val="left"/>
            </w:pPr>
            <w:r>
              <w:t xml:space="preserve">Data analysis, statistical modeling, and interpretation of research findings</w:t>
            </w:r>
          </w:p>
        </w:tc>
        <w:tc>
          <w:tcPr/>
          <w:p>
            <w:pPr>
              <w:pStyle w:val="Compact"/>
              <w:jc w:val="left"/>
            </w:pPr>
            <w:r>
              <w:t xml:space="preserve">15 working days</w:t>
            </w:r>
          </w:p>
        </w:tc>
        <w:tc>
          <w:tcPr/>
          <w:p>
            <w:pPr>
              <w:pStyle w:val="Compact"/>
              <w:jc w:val="left"/>
            </w:pPr>
            <w:r>
              <w:t xml:space="preserve">$160 / day</w:t>
            </w:r>
          </w:p>
        </w:tc>
        <w:tc>
          <w:tcPr/>
          <w:p>
            <w:pPr>
              <w:pStyle w:val="Compact"/>
              <w:jc w:val="left"/>
            </w:pPr>
            <w:r>
              <w:t xml:space="preserve">$2,400.00</w:t>
            </w:r>
          </w:p>
        </w:tc>
        <w:tc>
          <w:tcPr/>
          <w:p>
            <w:pPr>
              <w:pStyle w:val="Compact"/>
              <w:jc w:val="left"/>
            </w:pPr>
            <w:r>
              <w:t xml:space="preserve">Includes software licensing (SPSS, NVivo)</w:t>
            </w:r>
          </w:p>
        </w:tc>
      </w:tr>
      <w:tr>
        <w:tc>
          <w:tcPr/>
          <w:p>
            <w:pPr>
              <w:pStyle w:val="Compact"/>
              <w:jc w:val="left"/>
            </w:pPr>
            <w:r>
              <w:t xml:space="preserve">2.5</w:t>
            </w:r>
          </w:p>
        </w:tc>
        <w:tc>
          <w:tcPr/>
          <w:p>
            <w:pPr>
              <w:pStyle w:val="Compact"/>
              <w:jc w:val="left"/>
            </w:pPr>
            <w:r>
              <w:t xml:space="preserve">Drafting of the comprehensive research report, academic paper, or policy brief (up to 25,000 words)</w:t>
            </w:r>
          </w:p>
        </w:tc>
        <w:tc>
          <w:tcPr/>
          <w:p>
            <w:pPr>
              <w:pStyle w:val="Compact"/>
              <w:jc w:val="left"/>
            </w:pPr>
            <w:r>
              <w:t xml:space="preserve">12 working days</w:t>
            </w:r>
          </w:p>
        </w:tc>
        <w:tc>
          <w:tcPr/>
          <w:p>
            <w:pPr>
              <w:pStyle w:val="Compact"/>
              <w:jc w:val="left"/>
            </w:pPr>
            <w:r>
              <w:t xml:space="preserve">$140 / day</w:t>
            </w:r>
          </w:p>
        </w:tc>
        <w:tc>
          <w:tcPr/>
          <w:p>
            <w:pPr>
              <w:pStyle w:val="Compact"/>
              <w:jc w:val="left"/>
            </w:pPr>
            <w:r>
              <w:t xml:space="preserve">$1,680.00</w:t>
            </w:r>
          </w:p>
        </w:tc>
        <w:tc>
          <w:tcPr/>
          <w:p>
            <w:pPr>
              <w:pStyle w:val="Compact"/>
              <w:jc w:val="left"/>
            </w:pPr>
            <w:r>
              <w:t xml:space="preserve">Three revision cycles included</w:t>
            </w:r>
          </w:p>
        </w:tc>
      </w:tr>
      <w:tr>
        <w:tc>
          <w:tcPr/>
          <w:p>
            <w:pPr>
              <w:pStyle w:val="Compact"/>
              <w:jc w:val="left"/>
            </w:pPr>
            <w:r>
              <w:t xml:space="preserve">2.6</w:t>
            </w:r>
          </w:p>
        </w:tc>
        <w:tc>
          <w:tcPr/>
          <w:p>
            <w:pPr>
              <w:pStyle w:val="Compact"/>
              <w:jc w:val="left"/>
            </w:pPr>
            <w:r>
              <w:t xml:space="preserve">Academic peer review coordination, editorial support, and final publication preparation</w:t>
            </w:r>
          </w:p>
        </w:tc>
        <w:tc>
          <w:tcPr/>
          <w:p>
            <w:pPr>
              <w:pStyle w:val="Compact"/>
              <w:jc w:val="left"/>
            </w:pPr>
            <w:r>
              <w:t xml:space="preserve">5 working days</w:t>
            </w:r>
          </w:p>
        </w:tc>
        <w:tc>
          <w:tcPr/>
          <w:p>
            <w:pPr>
              <w:pStyle w:val="Compact"/>
              <w:jc w:val="left"/>
            </w:pPr>
            <w:r>
              <w:t xml:space="preserve">$130 / day</w:t>
            </w:r>
          </w:p>
        </w:tc>
        <w:tc>
          <w:tcPr/>
          <w:p>
            <w:pPr>
              <w:pStyle w:val="Compact"/>
              <w:jc w:val="left"/>
            </w:pPr>
            <w:r>
              <w:t xml:space="preserve">$650.00</w:t>
            </w:r>
          </w:p>
        </w:tc>
        <w:tc>
          <w:tcPr/>
          <w:p>
            <w:pPr>
              <w:pStyle w:val="Compact"/>
              <w:jc w:val="left"/>
            </w:pPr>
            <w:r>
              <w:t xml:space="preserve">Target: Q1/Q2 indexed journal</w:t>
            </w:r>
          </w:p>
        </w:tc>
      </w:tr>
      <w:tr>
        <w:tc>
          <w:tcPr/>
          <w:p>
            <w:pPr>
              <w:pStyle w:val="Compact"/>
              <w:jc w:val="left"/>
            </w:pPr>
            <w:r>
              <w:t xml:space="preserve">2.7</w:t>
            </w:r>
          </w:p>
        </w:tc>
        <w:tc>
          <w:tcPr/>
          <w:p>
            <w:pPr>
              <w:pStyle w:val="Compact"/>
              <w:jc w:val="left"/>
            </w:pPr>
            <w:r>
              <w:t xml:space="preserve">Project management, progress reporting, and administrative coordination throughout the engagement</w:t>
            </w:r>
          </w:p>
        </w:tc>
        <w:tc>
          <w:tcPr/>
          <w:p>
            <w:pPr>
              <w:pStyle w:val="Compact"/>
              <w:jc w:val="left"/>
            </w:pPr>
            <w:r>
              <w:t xml:space="preserve">67 working days</w:t>
            </w:r>
          </w:p>
        </w:tc>
        <w:tc>
          <w:tcPr/>
          <w:p>
            <w:pPr>
              <w:pStyle w:val="Compact"/>
              <w:jc w:val="left"/>
            </w:pPr>
            <w:r>
              <w:t xml:space="preserve">$50 / day</w:t>
            </w:r>
          </w:p>
        </w:tc>
        <w:tc>
          <w:tcPr/>
          <w:p>
            <w:pPr>
              <w:pStyle w:val="Compact"/>
              <w:jc w:val="left"/>
            </w:pPr>
            <w:r>
              <w:t xml:space="preserve">$3,350.00</w:t>
            </w:r>
          </w:p>
        </w:tc>
        <w:tc>
          <w:tcPr/>
          <w:p>
            <w:pPr>
              <w:pStyle w:val="Compact"/>
              <w:jc w:val="left"/>
            </w:pPr>
            <w:r>
              <w:t xml:space="preserve">Weekly progress reports to client</w:t>
            </w:r>
          </w:p>
        </w:tc>
      </w:tr>
      <w:tr>
        <w:tc>
          <w:tcPr/>
          <w:p>
            <w:pPr>
              <w:pStyle w:val="Compact"/>
              <w:jc w:val="left"/>
            </w:pPr>
            <w:r>
              <w:t xml:space="preserve">2.8</w:t>
            </w:r>
          </w:p>
        </w:tc>
        <w:tc>
          <w:tcPr/>
          <w:p>
            <w:pPr>
              <w:pStyle w:val="Compact"/>
              <w:jc w:val="left"/>
            </w:pPr>
            <w:r>
              <w:t xml:space="preserve">Access to academic databases, Uzbekistan national archives, and institutional libraries in Tashkent</w:t>
            </w:r>
          </w:p>
        </w:tc>
        <w:tc>
          <w:tcPr/>
          <w:p>
            <w:pPr>
              <w:pStyle w:val="Compact"/>
              <w:jc w:val="left"/>
            </w:pPr>
            <w:r>
              <w:t xml:space="preserve">Full project</w:t>
            </w:r>
          </w:p>
        </w:tc>
        <w:tc>
          <w:tcPr/>
          <w:p>
            <w:pPr>
              <w:pStyle w:val="Compact"/>
              <w:jc w:val="left"/>
            </w:pPr>
            <w:r>
              <w:t xml:space="preserve">Flat fee</w:t>
            </w:r>
          </w:p>
        </w:tc>
        <w:tc>
          <w:tcPr/>
          <w:p>
            <w:pPr>
              <w:pStyle w:val="Compact"/>
              <w:jc w:val="left"/>
            </w:pPr>
            <w:r>
              <w:t xml:space="preserve">$800.00</w:t>
            </w:r>
          </w:p>
        </w:tc>
        <w:tc>
          <w:tcPr/>
          <w:p>
            <w:pPr>
              <w:pStyle w:val="Compact"/>
              <w:jc w:val="left"/>
            </w:pPr>
            <w:r>
              <w:t xml:space="preserve">Includes Tashkent State University library access</w:t>
            </w:r>
          </w:p>
        </w:tc>
      </w:tr>
      <w:tr>
        <w:tc>
          <w:tcPr/>
          <w:p>
            <w:pPr>
              <w:pStyle w:val="Compact"/>
              <w:jc w:val="left"/>
            </w:pPr>
            <w:r>
              <w:t xml:space="preserve">2.9</w:t>
            </w:r>
          </w:p>
        </w:tc>
        <w:tc>
          <w:tcPr/>
          <w:p>
            <w:pPr>
              <w:pStyle w:val="Compact"/>
              <w:jc w:val="left"/>
            </w:pPr>
            <w:r>
              <w:t xml:space="preserve">Translation services (Uzbek / Russian / English) for research materials and final deliverables</w:t>
            </w:r>
          </w:p>
        </w:tc>
        <w:tc>
          <w:tcPr/>
          <w:p>
            <w:pPr>
              <w:pStyle w:val="Compact"/>
              <w:jc w:val="left"/>
            </w:pPr>
            <w:r>
              <w:t xml:space="preserve">As required</w:t>
            </w:r>
          </w:p>
        </w:tc>
        <w:tc>
          <w:tcPr/>
          <w:p>
            <w:pPr>
              <w:pStyle w:val="Compact"/>
              <w:jc w:val="left"/>
            </w:pPr>
            <w:r>
              <w:t xml:space="preserve">Flat fee</w:t>
            </w:r>
          </w:p>
        </w:tc>
        <w:tc>
          <w:tcPr/>
          <w:p>
            <w:pPr>
              <w:pStyle w:val="Compact"/>
              <w:jc w:val="left"/>
            </w:pPr>
            <w:r>
              <w:t xml:space="preserve">$1,200.00</w:t>
            </w:r>
          </w:p>
        </w:tc>
        <w:tc>
          <w:tcPr/>
          <w:p>
            <w:pPr>
              <w:pStyle w:val="Compact"/>
              <w:jc w:val="left"/>
            </w:pPr>
            <w:r>
              <w:t xml:space="preserve">Certified academic translation</w:t>
            </w:r>
          </w:p>
        </w:tc>
      </w:tr>
      <w:tr>
        <w:tc>
          <w:tcPr/>
          <w:p>
            <w:pPr>
              <w:pStyle w:val="Compact"/>
              <w:jc w:val="left"/>
            </w:pPr>
            <w:r>
              <w:t xml:space="preserve">2.10</w:t>
            </w:r>
          </w:p>
        </w:tc>
        <w:tc>
          <w:tcPr/>
          <w:p>
            <w:pPr>
              <w:pStyle w:val="Compact"/>
              <w:jc w:val="left"/>
            </w:pPr>
            <w:r>
              <w:t xml:space="preserve">Contingency and miscellaneous expenses (printing, binding, courier within Uzbekistan)</w:t>
            </w:r>
          </w:p>
        </w:tc>
        <w:tc>
          <w:tcPr/>
          <w:p>
            <w:pPr>
              <w:pStyle w:val="Compact"/>
              <w:jc w:val="left"/>
            </w:pPr>
            <w:r>
              <w:t xml:space="preserve">As required</w:t>
            </w:r>
          </w:p>
        </w:tc>
        <w:tc>
          <w:tcPr/>
          <w:p>
            <w:pPr>
              <w:pStyle w:val="Compact"/>
              <w:jc w:val="left"/>
            </w:pPr>
            <w:r>
              <w:t xml:space="preserve">Flat fee</w:t>
            </w:r>
          </w:p>
        </w:tc>
        <w:tc>
          <w:tcPr/>
          <w:p>
            <w:pPr>
              <w:pStyle w:val="Compact"/>
              <w:jc w:val="left"/>
            </w:pPr>
            <w:r>
              <w:t xml:space="preserve">$500.00</w:t>
            </w:r>
          </w:p>
        </w:tc>
        <w:tc>
          <w:tcPr/>
          <w:p>
            <w:pPr>
              <w:pStyle w:val="Compact"/>
              <w:jc w:val="left"/>
            </w:pPr>
            <w:r>
              <w:t xml:space="preserve">Reimbursed at actual cost</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 (USD):</w:t>
            </w:r>
          </w:p>
        </w:tc>
        <w:tc>
          <w:tcPr/>
          <w:p>
            <w:pPr>
              <w:pStyle w:val="Compact"/>
              <w:jc w:val="left"/>
            </w:pPr>
            <w:r>
              <w:t xml:space="preserve">$16,180.00</w:t>
            </w:r>
          </w:p>
        </w:tc>
        <w:tc>
          <w:tcPr/>
          <w:p>
            <w:pPr>
              <w:pStyle w:val="Compact"/>
            </w:pPr>
          </w:p>
        </w:tc>
      </w:tr>
      <w:tr>
        <w:tc>
          <w:tcPr>
            <w:gridSpan w:val="4"/>
          </w:tcPr>
          <w:p>
            <w:pPr>
              <w:pStyle w:val="Compact"/>
              <w:jc w:val="right"/>
            </w:pPr>
            <w:r>
              <w:t xml:space="preserve">VAT (12% – Republic of Uzbekistan):</w:t>
            </w:r>
          </w:p>
        </w:tc>
        <w:tc>
          <w:tcPr/>
          <w:p>
            <w:pPr>
              <w:pStyle w:val="Compact"/>
              <w:jc w:val="left"/>
            </w:pPr>
            <w:r>
              <w:t xml:space="preserve">$1,941.60</w:t>
            </w:r>
          </w:p>
        </w:tc>
        <w:tc>
          <w:tcPr/>
          <w:p>
            <w:pPr>
              <w:pStyle w:val="Compact"/>
            </w:pPr>
          </w:p>
        </w:tc>
      </w:tr>
      <w:tr>
        <w:tc>
          <w:tcPr>
            <w:gridSpan w:val="4"/>
          </w:tcPr>
          <w:p>
            <w:pPr>
              <w:pStyle w:val="Compact"/>
              <w:jc w:val="right"/>
            </w:pPr>
            <w:r>
              <w:rPr>
                <w:bCs/>
                <w:b/>
              </w:rPr>
              <w:t xml:space="preserve">TOTAL ESTIMATED COST (USD):</w:t>
            </w:r>
          </w:p>
        </w:tc>
        <w:tc>
          <w:tcPr/>
          <w:p>
            <w:pPr>
              <w:pStyle w:val="Compact"/>
              <w:jc w:val="left"/>
            </w:pPr>
            <w:r>
              <w:rPr>
                <w:bCs/>
                <w:b/>
              </w:rPr>
              <w:t xml:space="preserve">$18,121.60</w:t>
            </w:r>
          </w:p>
        </w:tc>
        <w:tc>
          <w:tcPr/>
          <w:p>
            <w:pPr>
              <w:pStyle w:val="Compact"/>
            </w:pPr>
          </w:p>
        </w:tc>
      </w:tr>
    </w:tbl>
    <w:p>
      <w:pPr>
        <w:pStyle w:val="BodyText"/>
      </w:pPr>
      <w:r>
        <w:t xml:space="preserve">All amounts are quoted in United States Dollars (USD). Payment may be made in USD or its equivalent in Uzbekistan Som (UZS) at the National Bank of Uzbekistan (NBU) exchange rate on the date of invoice. The current indicative rate is 1 USD ≈ 12,800 UZS.</w:t>
      </w:r>
    </w:p>
    <w:bookmarkEnd w:id="22"/>
    <w:bookmarkStart w:id="23" w:name="payment-terms"/>
    <w:p>
      <w:pPr>
        <w:pStyle w:val="Heading2"/>
      </w:pPr>
      <w:r>
        <w:t xml:space="preserve">3. Payment Terms</w:t>
      </w:r>
    </w:p>
    <w:p>
      <w:pPr>
        <w:pStyle w:val="FirstParagraph"/>
      </w:pPr>
      <w:r>
        <w:t xml:space="preserve">Payment for the services outlined in this Quotation Estimate shall be made in three (3) installments: (a) 30% upon execution of the Service Agreement; (b) 40% upon completion of primary data collection and delivery of interim findings; and (c) 30% upon final delivery and client acceptance of the completed research deliverables. All payments are due within fifteen (15) calendar days of invoice issuance. Late payments shall accrue interest at a rate of 1.5% per month in accordance with the Commercial Code of the Republic of Uzbekistan.</w:t>
      </w:r>
    </w:p>
    <w:bookmarkEnd w:id="23"/>
    <w:bookmarkStart w:id="24" w:name="terms-and-conditions"/>
    <w:p>
      <w:pPr>
        <w:pStyle w:val="Heading2"/>
      </w:pPr>
      <w:r>
        <w:t xml:space="preserve">4. Terms and Conditions</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all rates and terms are subject to revision.</w:t>
      </w:r>
    </w:p>
    <w:p>
      <w:pPr>
        <w:numPr>
          <w:ilvl w:val="0"/>
          <w:numId w:val="1001"/>
        </w:numPr>
        <w:pStyle w:val="Compact"/>
      </w:pPr>
      <w:r>
        <w:rPr>
          <w:bCs/>
          <w:b/>
        </w:rPr>
        <w:t xml:space="preserve">Scope Changes:</w:t>
      </w:r>
      <w:r>
        <w:t xml:space="preserve"> </w:t>
      </w:r>
      <w:r>
        <w:t xml:space="preserve">Any modification to the scope of work, additional research objectives, or extended timelines must be documented in a written Change Order signed by both parties. Additional costs will be quoted separately.</w:t>
      </w:r>
    </w:p>
    <w:p>
      <w:pPr>
        <w:numPr>
          <w:ilvl w:val="0"/>
          <w:numId w:val="1001"/>
        </w:numPr>
        <w:pStyle w:val="Compact"/>
      </w:pPr>
      <w:r>
        <w:rPr>
          <w:bCs/>
          <w:b/>
        </w:rPr>
        <w:t xml:space="preserve">Intellectual Property:</w:t>
      </w:r>
      <w:r>
        <w:t xml:space="preserve"> </w:t>
      </w:r>
      <w:r>
        <w:t xml:space="preserve">Upon full payment, all research outputs, data sets, reports, and publications produced by the Academic Researcher shall become the exclusive property of the Client, unless otherwise stipulated in the Service Agreement.</w:t>
      </w:r>
    </w:p>
    <w:p>
      <w:pPr>
        <w:numPr>
          <w:ilvl w:val="0"/>
          <w:numId w:val="1001"/>
        </w:numPr>
        <w:pStyle w:val="Compact"/>
      </w:pPr>
      <w:r>
        <w:rPr>
          <w:bCs/>
          <w:b/>
        </w:rPr>
        <w:t xml:space="preserve">Confidentiality:</w:t>
      </w:r>
      <w:r>
        <w:t xml:space="preserve"> </w:t>
      </w:r>
      <w:r>
        <w:t xml:space="preserve">The Academic Researcher and Central Asian Academic Consulting Group shall maintain strict confidentiality regarding all data, findings, and proprietary information encountered during the engagement in Tashkent, Uzbekistan.</w:t>
      </w:r>
    </w:p>
    <w:p>
      <w:pPr>
        <w:numPr>
          <w:ilvl w:val="0"/>
          <w:numId w:val="1001"/>
        </w:numPr>
        <w:pStyle w:val="Compact"/>
      </w:pPr>
      <w:r>
        <w:rPr>
          <w:bCs/>
          <w:b/>
        </w:rPr>
        <w:t xml:space="preserve">Compliance:</w:t>
      </w:r>
      <w:r>
        <w:t xml:space="preserve"> </w:t>
      </w:r>
      <w:r>
        <w:t xml:space="preserve">All research activities shall comply with the laws of the Republic of Uzbekistan, including but not limited to data protection regulations, academic ethics standards, and any applicable permits required for fieldwork within Uzbekistan.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government-imposed restrictions, or public health emergencies in Uzbekistan.</w:t>
      </w:r>
    </w:p>
    <w:p>
      <w:pPr>
        <w:numPr>
          <w:ilvl w:val="0"/>
          <w:numId w:val="1001"/>
        </w:numPr>
        <w:pStyle w:val="Compact"/>
      </w:pPr>
      <w:r>
        <w:rPr>
          <w:bCs/>
          <w:b/>
        </w:rPr>
        <w:t xml:space="preserve">Governing Law:</w:t>
      </w:r>
      <w:r>
        <w:t xml:space="preserve"> </w:t>
      </w:r>
      <w:r>
        <w:t xml:space="preserve">This Quotation Estimate and any resulting Service Agreement shall be governed by and construed in accordance with the laws of the Republic of Uzbekistan. Disputes shall be resolved through arbitration in Tashkent under the rules of the Tashkent International Arbitration Centre.</w:t>
      </w:r>
    </w:p>
    <w:p>
      <w:pPr>
        <w:numPr>
          <w:ilvl w:val="0"/>
          <w:numId w:val="1001"/>
        </w:numPr>
        <w:pStyle w:val="Compact"/>
      </w:pPr>
      <w:r>
        <w:rPr>
          <w:bCs/>
          <w:b/>
        </w:rPr>
        <w:t xml:space="preserve">Subcontracting:</w:t>
      </w:r>
      <w:r>
        <w:t xml:space="preserve"> </w:t>
      </w:r>
      <w:r>
        <w:t xml:space="preserve">The Academic Researcher may engage qualified sub-researchers or technical assistants in Tashkent, Uzbekistan, provided that the primary researcher retains full supervisory responsibility and the Client has given prior written consent.</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and indicates intent to proceed with the engagement of the Academic Researcher as described herein. This signature does not constitute a binding contract; a formal Service Agreement will be prepared and executed prior to the commencement of any work.</w:t>
      </w:r>
    </w:p>
    <w:p>
      <w:pPr>
        <w:pStyle w:val="BodyText"/>
      </w:pPr>
      <w:r>
        <w:rPr>
          <w:bCs/>
          <w:b/>
        </w:rPr>
        <w:t xml:space="preserve">For: Central Asian Academic Consulting Group</w:t>
      </w:r>
      <w:r>
        <w:br/>
      </w:r>
      <w:r>
        <w:t xml:space="preserve">Authorized Signatory</w:t>
      </w:r>
      <w:r>
        <w:br/>
      </w:r>
      <w:r>
        <w:t xml:space="preserve">Tashkent, Uzbekistan</w:t>
      </w:r>
    </w:p>
    <w:p>
      <w:pPr>
        <w:pStyle w:val="BodyText"/>
      </w:pPr>
      <w:r>
        <w:rPr>
          <w:bCs/>
          <w:b/>
        </w:rPr>
        <w:t xml:space="preserve">For: Client / Institution</w:t>
      </w:r>
      <w:r>
        <w:br/>
      </w:r>
      <w:r>
        <w:t xml:space="preserve">Authorized Signatory</w:t>
      </w:r>
      <w:r>
        <w:br/>
      </w:r>
      <w:r>
        <w:t xml:space="preserve">Tashkent, Uzbekistan</w:t>
      </w:r>
    </w:p>
    <w:p>
      <w:pPr>
        <w:pStyle w:val="BodyText"/>
      </w:pPr>
      <w:r>
        <w:t xml:space="preserve">© 2025 Central Asian Academic Consulting Group | Tashkent, Uzbekistan | Reg. No. 01-2025-TK-88412 | This Quotation Estimate is a confidential document intended solely for the named recipient.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Services - Tashkent, Uzbekistan</dc:title>
  <dc:creator/>
  <dc:language>en</dc:language>
  <cp:keywords/>
  <dcterms:created xsi:type="dcterms:W3CDTF">2026-10-10T09:34:17Z</dcterms:created>
  <dcterms:modified xsi:type="dcterms:W3CDTF">2026-10-10T09:34:17Z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