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Xc098e96177b070f0ac8b7b295c53e4b3ed7620d"/>
    <w:p>
      <w:pPr>
        <w:pStyle w:val="Heading1"/>
      </w:pPr>
      <w:r>
        <w:t xml:space="preserve">Sydney Professional Accounting Services Pty Ltd</w:t>
      </w:r>
    </w:p>
    <w:p>
      <w:pPr>
        <w:pStyle w:val="FirstParagraph"/>
      </w:pPr>
      <w:r>
        <w:t xml:space="preserve">ABN: 12 345 678 901 | ACN: 012 345 678</w:t>
      </w:r>
    </w:p>
    <w:p>
      <w:pPr>
        <w:pStyle w:val="BodyText"/>
      </w:pPr>
      <w:r>
        <w:t xml:space="preserve">Level 12, 200 George Street, Sydney NSW 2000, Australia</w:t>
      </w:r>
    </w:p>
    <w:p>
      <w:pPr>
        <w:pStyle w:val="BodyText"/>
      </w:pPr>
      <w:r>
        <w:t xml:space="preserve">Phone: +61 2 9300 4567 | Email: enquiries@sydneyproaccounting.com.au</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QE-2025-04871</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Margaret Chen, CPA (AICPA)</w:t>
      </w:r>
    </w:p>
    <w:p>
      <w:pPr>
        <w:pStyle w:val="BodyText"/>
      </w:pPr>
      <w:r>
        <w:rPr>
          <w:bCs/>
          <w:b/>
        </w:rPr>
        <w:t xml:space="preserve">Service Location:</w:t>
      </w:r>
      <w:r>
        <w:t xml:space="preserve"> </w:t>
      </w:r>
      <w:r>
        <w:t xml:space="preserve">Australia Sydney</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Harbourview Trading Co. Pty Ltd</w:t>
      </w:r>
    </w:p>
    <w:p>
      <w:pPr>
        <w:pStyle w:val="BodyText"/>
      </w:pPr>
      <w:r>
        <w:rPr>
          <w:bCs/>
          <w:b/>
        </w:rPr>
        <w:t xml:space="preserve">ABN:</w:t>
      </w:r>
      <w:r>
        <w:t xml:space="preserve"> </w:t>
      </w:r>
      <w:r>
        <w:t xml:space="preserve">45 987 654 321</w:t>
      </w:r>
    </w:p>
    <w:p>
      <w:pPr>
        <w:pStyle w:val="BodyText"/>
      </w:pPr>
      <w:r>
        <w:rPr>
          <w:bCs/>
          <w:b/>
        </w:rPr>
        <w:t xml:space="preserve">Address:</w:t>
      </w:r>
      <w:r>
        <w:t xml:space="preserve"> </w:t>
      </w:r>
      <w:r>
        <w:t xml:space="preserve">45 Parramatta Road, Leichhardt NSW 2040, Australia Sydney</w:t>
      </w:r>
    </w:p>
    <w:p>
      <w:pPr>
        <w:pStyle w:val="BodyText"/>
      </w:pPr>
      <w:r>
        <w:rPr>
          <w:bCs/>
          <w:b/>
        </w:rPr>
        <w:t xml:space="preserve">Contact Person:</w:t>
      </w:r>
      <w:r>
        <w:t xml:space="preserve"> </w:t>
      </w:r>
      <w:r>
        <w:t xml:space="preserve">David Okafor, Managing Director</w:t>
      </w:r>
    </w:p>
    <w:p>
      <w:pPr>
        <w:pStyle w:val="BodyText"/>
      </w:pPr>
      <w:r>
        <w:rPr>
          <w:bCs/>
          <w:b/>
        </w:rPr>
        <w:t xml:space="preserve">Email:</w:t>
      </w:r>
      <w:r>
        <w:t xml:space="preserve"> </w:t>
      </w:r>
      <w:r>
        <w:t xml:space="preserve">d.okafor@harbourviewtrading.com.au</w:t>
      </w:r>
    </w:p>
    <w:bookmarkEnd w:id="22"/>
    <w:bookmarkStart w:id="23"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has been prepared by Sydney Professional Accounting Services Pty Ltd to provide Harbourview Trading Co. Pty Ltd with a comprehensive and transparent breakdown of professional accounting services to be delivered in Australia Sydney. As a registered</w:t>
      </w:r>
      <w:r>
        <w:t xml:space="preserve"> </w:t>
      </w:r>
      <w:r>
        <w:t xml:space="preserve">Accountant</w:t>
      </w:r>
      <w:r>
        <w:t xml:space="preserve"> </w:t>
      </w:r>
      <w:r>
        <w:t xml:space="preserve">firm operating under the Australian Accounting Standards Board (AASB) guidelines and the Chartered Accountants Australia and New Zealand (CA ANZ) regulatory framework, we are committed to delivering the highest standard of financial stewardship to businesses across the Australia Sydney metropolitan region.</w:t>
      </w:r>
    </w:p>
    <w:p>
      <w:pPr>
        <w:pStyle w:val="BodyText"/>
      </w:pPr>
      <w:r>
        <w:t xml:space="preserve">This</w:t>
      </w:r>
      <w:r>
        <w:t xml:space="preserve"> </w:t>
      </w:r>
      <w:r>
        <w:t xml:space="preserve">Quotation Estimate</w:t>
      </w:r>
      <w:r>
        <w:t xml:space="preserve"> </w:t>
      </w:r>
      <w:r>
        <w:t xml:space="preserve">outlines the full scope of services, associated costs, payment terms, and conditions that will govern the engagement between our</w:t>
      </w:r>
      <w:r>
        <w:t xml:space="preserve"> </w:t>
      </w:r>
      <w:r>
        <w:t xml:space="preserve">Accountant</w:t>
      </w:r>
      <w:r>
        <w:t xml:space="preserve"> </w:t>
      </w:r>
      <w:r>
        <w:t xml:space="preserve">team and your organisation. All pricing is quoted in Australian Dollars (AUD) and is inclusive of Goods and Services Tax (GST) at the current rate of 10%, in accordance with the Australian Taxation Office (ATO) requirements applicable in Australia Sydney.</w:t>
      </w:r>
    </w:p>
    <w:bookmarkEnd w:id="23"/>
    <w:bookmarkStart w:id="24" w:name="scope-of-accountant-services"/>
    <w:p>
      <w:pPr>
        <w:pStyle w:val="Heading2"/>
      </w:pPr>
      <w:r>
        <w:t xml:space="preserve">2. Scope of Accountant Services</w:t>
      </w:r>
    </w:p>
    <w:p>
      <w:pPr>
        <w:pStyle w:val="FirstParagraph"/>
      </w:pPr>
      <w:r>
        <w:t xml:space="preserve">The following services have been identified as required for Harbourview Trading Co. Pty Ltd for the financial year 2025–2026. Our</w:t>
      </w:r>
      <w:r>
        <w:t xml:space="preserve"> </w:t>
      </w:r>
      <w:r>
        <w:t xml:space="preserve">Accountant</w:t>
      </w:r>
      <w:r>
        <w:t xml:space="preserve"> </w:t>
      </w:r>
      <w:r>
        <w:t xml:space="preserve">team will provide ongoing support tailored to the operational needs of your business in Australia Sydney: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Estimated Hours</w:t>
            </w:r>
          </w:p>
        </w:tc>
        <w:tc>
          <w:tcPr/>
          <w:p>
            <w:pPr>
              <w:pStyle w:val="Compact"/>
              <w:jc w:val="left"/>
            </w:pPr>
            <w:r>
              <w:t xml:space="preserve">Rate (AUD/hr)</w:t>
            </w:r>
          </w:p>
        </w:tc>
        <w:tc>
          <w:tcPr/>
          <w:p>
            <w:pPr>
              <w:pStyle w:val="Compact"/>
              <w:jc w:val="left"/>
            </w:pPr>
            <w:r>
              <w:t xml:space="preserve">Subtotal (AUD)</w:t>
            </w:r>
          </w:p>
        </w:tc>
      </w:tr>
      <w:tr>
        <w:tc>
          <w:tcPr/>
          <w:p>
            <w:pPr>
              <w:pStyle w:val="Compact"/>
              <w:jc w:val="left"/>
            </w:pPr>
            <w:r>
              <w:t xml:space="preserve">01</w:t>
            </w:r>
          </w:p>
        </w:tc>
        <w:tc>
          <w:tcPr/>
          <w:p>
            <w:pPr>
              <w:pStyle w:val="Compact"/>
              <w:jc w:val="left"/>
            </w:pPr>
            <w:r>
              <w:t xml:space="preserve">Monthly Bookkeeping &amp; Reconciliation (including bank feeds, accounts payable/receivable, and payroll processing via Xero)</w:t>
            </w:r>
          </w:p>
        </w:tc>
        <w:tc>
          <w:tcPr/>
          <w:p>
            <w:pPr>
              <w:pStyle w:val="Compact"/>
              <w:jc w:val="left"/>
            </w:pPr>
            <w:r>
              <w:t xml:space="preserve">Monthly (12x)</w:t>
            </w:r>
          </w:p>
        </w:tc>
        <w:tc>
          <w:tcPr/>
          <w:p>
            <w:pPr>
              <w:pStyle w:val="Compact"/>
              <w:jc w:val="left"/>
            </w:pPr>
            <w:r>
              <w:t xml:space="preserve">8 hrs/month</w:t>
            </w:r>
          </w:p>
        </w:tc>
        <w:tc>
          <w:tcPr/>
          <w:p>
            <w:pPr>
              <w:pStyle w:val="Compact"/>
              <w:jc w:val="left"/>
            </w:pPr>
            <w:r>
              <w:t xml:space="preserve">$145.00</w:t>
            </w:r>
          </w:p>
        </w:tc>
        <w:tc>
          <w:tcPr/>
          <w:p>
            <w:pPr>
              <w:pStyle w:val="Compact"/>
              <w:jc w:val="left"/>
            </w:pPr>
            <w:r>
              <w:t xml:space="preserve">$13,920.00</w:t>
            </w:r>
          </w:p>
        </w:tc>
      </w:tr>
      <w:tr>
        <w:tc>
          <w:tcPr/>
          <w:p>
            <w:pPr>
              <w:pStyle w:val="Compact"/>
              <w:jc w:val="left"/>
            </w:pPr>
            <w:r>
              <w:t xml:space="preserve">02</w:t>
            </w:r>
          </w:p>
        </w:tc>
        <w:tc>
          <w:tcPr/>
          <w:p>
            <w:pPr>
              <w:pStyle w:val="Compact"/>
              <w:jc w:val="left"/>
            </w:pPr>
            <w:r>
              <w:t xml:space="preserve">Quarterly Tax Returns (BAS, IAS, and PAYG instalment activity statements lodged with the ATO)</w:t>
            </w:r>
          </w:p>
        </w:tc>
        <w:tc>
          <w:tcPr/>
          <w:p>
            <w:pPr>
              <w:pStyle w:val="Compact"/>
              <w:jc w:val="left"/>
            </w:pPr>
            <w:r>
              <w:t xml:space="preserve">Quarterly (4x)</w:t>
            </w:r>
          </w:p>
        </w:tc>
        <w:tc>
          <w:tcPr/>
          <w:p>
            <w:pPr>
              <w:pStyle w:val="Compact"/>
              <w:jc w:val="left"/>
            </w:pPr>
            <w:r>
              <w:t xml:space="preserve">6 hrs/quarter</w:t>
            </w:r>
          </w:p>
        </w:tc>
        <w:tc>
          <w:tcPr/>
          <w:p>
            <w:pPr>
              <w:pStyle w:val="Compact"/>
              <w:jc w:val="left"/>
            </w:pPr>
            <w:r>
              <w:t xml:space="preserve">$165.00</w:t>
            </w:r>
          </w:p>
        </w:tc>
        <w:tc>
          <w:tcPr/>
          <w:p>
            <w:pPr>
              <w:pStyle w:val="Compact"/>
              <w:jc w:val="left"/>
            </w:pPr>
            <w:r>
              <w:t xml:space="preserve">$3,960.00</w:t>
            </w:r>
          </w:p>
        </w:tc>
      </w:tr>
      <w:tr>
        <w:tc>
          <w:tcPr/>
          <w:p>
            <w:pPr>
              <w:pStyle w:val="Compact"/>
              <w:jc w:val="left"/>
            </w:pPr>
            <w:r>
              <w:t xml:space="preserve">03</w:t>
            </w:r>
          </w:p>
        </w:tc>
        <w:tc>
          <w:tcPr/>
          <w:p>
            <w:pPr>
              <w:pStyle w:val="Compact"/>
              <w:jc w:val="left"/>
            </w:pPr>
            <w:r>
              <w:t xml:space="preserve">Annual Financial Statements &amp; Tax Return Preparation (AASB-compliant, lodged with ASIC and ATO)</w:t>
            </w:r>
          </w:p>
        </w:tc>
        <w:tc>
          <w:tcPr/>
          <w:p>
            <w:pPr>
              <w:pStyle w:val="Compact"/>
              <w:jc w:val="left"/>
            </w:pPr>
            <w:r>
              <w:t xml:space="preserve">Annually (1x)</w:t>
            </w:r>
          </w:p>
        </w:tc>
        <w:tc>
          <w:tcPr/>
          <w:p>
            <w:pPr>
              <w:pStyle w:val="Compact"/>
              <w:jc w:val="left"/>
            </w:pPr>
            <w:r>
              <w:t xml:space="preserve">40 hrs</w:t>
            </w:r>
          </w:p>
        </w:tc>
        <w:tc>
          <w:tcPr/>
          <w:p>
            <w:pPr>
              <w:pStyle w:val="Compact"/>
              <w:jc w:val="left"/>
            </w:pPr>
            <w:r>
              <w:t xml:space="preserve">$175.00</w:t>
            </w:r>
          </w:p>
        </w:tc>
        <w:tc>
          <w:tcPr/>
          <w:p>
            <w:pPr>
              <w:pStyle w:val="Compact"/>
              <w:jc w:val="left"/>
            </w:pPr>
            <w:r>
              <w:t xml:space="preserve">$7,000.00</w:t>
            </w:r>
          </w:p>
        </w:tc>
      </w:tr>
      <w:tr>
        <w:tc>
          <w:tcPr/>
          <w:p>
            <w:pPr>
              <w:pStyle w:val="Compact"/>
              <w:jc w:val="left"/>
            </w:pPr>
            <w:r>
              <w:t xml:space="preserve">04</w:t>
            </w:r>
          </w:p>
        </w:tc>
        <w:tc>
          <w:tcPr/>
          <w:p>
            <w:pPr>
              <w:pStyle w:val="Compact"/>
              <w:jc w:val="left"/>
            </w:pPr>
            <w:r>
              <w:t xml:space="preserve">Payroll Administration &amp; Superannuation Compliance (STP Phase 2 reporting, super guarantee contributions)</w:t>
            </w:r>
          </w:p>
        </w:tc>
        <w:tc>
          <w:tcPr/>
          <w:p>
            <w:pPr>
              <w:pStyle w:val="Compact"/>
              <w:jc w:val="left"/>
            </w:pPr>
            <w:r>
              <w:t xml:space="preserve">Monthly (12x)</w:t>
            </w:r>
          </w:p>
        </w:tc>
        <w:tc>
          <w:tcPr/>
          <w:p>
            <w:pPr>
              <w:pStyle w:val="Compact"/>
              <w:jc w:val="left"/>
            </w:pPr>
            <w:r>
              <w:t xml:space="preserve">4 hrs/month</w:t>
            </w:r>
          </w:p>
        </w:tc>
        <w:tc>
          <w:tcPr/>
          <w:p>
            <w:pPr>
              <w:pStyle w:val="Compact"/>
              <w:jc w:val="left"/>
            </w:pPr>
            <w:r>
              <w:t xml:space="preserve">$145.00</w:t>
            </w:r>
          </w:p>
        </w:tc>
        <w:tc>
          <w:tcPr/>
          <w:p>
            <w:pPr>
              <w:pStyle w:val="Compact"/>
              <w:jc w:val="left"/>
            </w:pPr>
            <w:r>
              <w:t xml:space="preserve">$6,960.00</w:t>
            </w:r>
          </w:p>
        </w:tc>
      </w:tr>
      <w:tr>
        <w:tc>
          <w:tcPr/>
          <w:p>
            <w:pPr>
              <w:pStyle w:val="Compact"/>
              <w:jc w:val="left"/>
            </w:pPr>
            <w:r>
              <w:t xml:space="preserve">05</w:t>
            </w:r>
          </w:p>
        </w:tc>
        <w:tc>
          <w:tcPr/>
          <w:p>
            <w:pPr>
              <w:pStyle w:val="Compact"/>
              <w:jc w:val="left"/>
            </w:pPr>
            <w:r>
              <w:t xml:space="preserve">Advisory &amp; Compliance Consultation (tax planning, GST registration review, ASIC annual statements, and regulatory updates for Australia Sydney businesses)</w:t>
            </w:r>
          </w:p>
        </w:tc>
        <w:tc>
          <w:tcPr/>
          <w:p>
            <w:pPr>
              <w:pStyle w:val="Compact"/>
              <w:jc w:val="left"/>
            </w:pPr>
            <w:r>
              <w:t xml:space="preserve">As required (est. 6x)</w:t>
            </w:r>
          </w:p>
        </w:tc>
        <w:tc>
          <w:tcPr/>
          <w:p>
            <w:pPr>
              <w:pStyle w:val="Compact"/>
              <w:jc w:val="left"/>
            </w:pPr>
            <w:r>
              <w:t xml:space="preserve">3 hrs/session</w:t>
            </w:r>
          </w:p>
        </w:tc>
        <w:tc>
          <w:tcPr/>
          <w:p>
            <w:pPr>
              <w:pStyle w:val="Compact"/>
              <w:jc w:val="left"/>
            </w:pPr>
            <w:r>
              <w:t xml:space="preserve">$195.00</w:t>
            </w:r>
          </w:p>
        </w:tc>
        <w:tc>
          <w:tcPr/>
          <w:p>
            <w:pPr>
              <w:pStyle w:val="Compact"/>
              <w:jc w:val="left"/>
            </w:pPr>
            <w:r>
              <w:t xml:space="preserve">$3,510.00</w:t>
            </w:r>
          </w:p>
        </w:tc>
      </w:tr>
      <w:tr>
        <w:tc>
          <w:tcPr/>
          <w:p>
            <w:pPr>
              <w:pStyle w:val="Compact"/>
              <w:jc w:val="left"/>
            </w:pPr>
            <w:r>
              <w:t xml:space="preserve">06</w:t>
            </w:r>
          </w:p>
        </w:tc>
        <w:tc>
          <w:tcPr/>
          <w:p>
            <w:pPr>
              <w:pStyle w:val="Compact"/>
              <w:jc w:val="left"/>
            </w:pPr>
            <w:r>
              <w:t xml:space="preserve">Annual Company Secretarial &amp; ASIC Compliance Filing</w:t>
            </w:r>
          </w:p>
        </w:tc>
        <w:tc>
          <w:tcPr/>
          <w:p>
            <w:pPr>
              <w:pStyle w:val="Compact"/>
              <w:jc w:val="left"/>
            </w:pPr>
            <w:r>
              <w:t xml:space="preserve">Annually (1x)</w:t>
            </w:r>
          </w:p>
        </w:tc>
        <w:tc>
          <w:tcPr/>
          <w:p>
            <w:pPr>
              <w:pStyle w:val="Compact"/>
              <w:jc w:val="left"/>
            </w:pPr>
            <w:r>
              <w:t xml:space="preserve">5 hrs</w:t>
            </w:r>
          </w:p>
        </w:tc>
        <w:tc>
          <w:tcPr/>
          <w:p>
            <w:pPr>
              <w:pStyle w:val="Compact"/>
              <w:jc w:val="left"/>
            </w:pPr>
            <w:r>
              <w:t xml:space="preserve">$175.00</w:t>
            </w:r>
          </w:p>
        </w:tc>
        <w:tc>
          <w:tcPr/>
          <w:p>
            <w:pPr>
              <w:pStyle w:val="Compact"/>
              <w:jc w:val="left"/>
            </w:pPr>
            <w:r>
              <w:t xml:space="preserve">$875.00</w:t>
            </w:r>
          </w:p>
        </w:tc>
      </w:tr>
      <w:tr>
        <w:tc>
          <w:tcPr>
            <w:gridSpan w:val="5"/>
          </w:tcPr>
          <w:p>
            <w:pPr>
              <w:pStyle w:val="Compact"/>
              <w:jc w:val="left"/>
            </w:pPr>
            <w:r>
              <w:t xml:space="preserve">Subtotal (Excluding GST)</w:t>
            </w:r>
          </w:p>
        </w:tc>
        <w:tc>
          <w:tcPr/>
          <w:p>
            <w:pPr>
              <w:pStyle w:val="Compact"/>
              <w:jc w:val="left"/>
            </w:pPr>
            <w:r>
              <w:t xml:space="preserve">$36,225.00</w:t>
            </w:r>
          </w:p>
        </w:tc>
      </w:tr>
      <w:tr>
        <w:tc>
          <w:tcPr>
            <w:gridSpan w:val="5"/>
          </w:tcPr>
          <w:p>
            <w:pPr>
              <w:pStyle w:val="Compact"/>
              <w:jc w:val="left"/>
            </w:pPr>
            <w:r>
              <w:t xml:space="preserve">GST (10%)</w:t>
            </w:r>
          </w:p>
        </w:tc>
        <w:tc>
          <w:tcPr/>
          <w:p>
            <w:pPr>
              <w:pStyle w:val="Compact"/>
              <w:jc w:val="left"/>
            </w:pPr>
            <w:r>
              <w:t xml:space="preserve">$3,622.50</w:t>
            </w:r>
          </w:p>
        </w:tc>
      </w:tr>
      <w:tr>
        <w:tc>
          <w:tcPr>
            <w:gridSpan w:val="5"/>
          </w:tcPr>
          <w:p>
            <w:pPr>
              <w:pStyle w:val="Compact"/>
              <w:jc w:val="left"/>
            </w:pPr>
            <w:r>
              <w:rPr>
                <w:bCs/>
                <w:b/>
              </w:rPr>
              <w:t xml:space="preserve">TOTAL ESTIMATED FEE (Incl. GST)</w:t>
            </w:r>
          </w:p>
        </w:tc>
        <w:tc>
          <w:tcPr/>
          <w:p>
            <w:pPr>
              <w:pStyle w:val="Compact"/>
              <w:jc w:val="left"/>
            </w:pPr>
            <w:r>
              <w:rPr>
                <w:bCs/>
                <w:b/>
              </w:rPr>
              <w:t xml:space="preserve">$39,847.50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thirty (30) calendar days from the date of issue. After this period, fees may be subject to revision based on prevailing market rates in Australia Sydney.</w:t>
      </w:r>
    </w:p>
    <w:p>
      <w:pPr>
        <w:numPr>
          <w:ilvl w:val="0"/>
          <w:numId w:val="1001"/>
        </w:numPr>
        <w:pStyle w:val="Compact"/>
      </w:pPr>
      <w:r>
        <w:rPr>
          <w:bCs/>
          <w:b/>
        </w:rPr>
        <w:t xml:space="preserve">Payment Terms:</w:t>
      </w:r>
      <w:r>
        <w:t xml:space="preserve"> </w:t>
      </w:r>
      <w:r>
        <w:t xml:space="preserve">Invoices will be issued monthly in arrears. Payment is due within fourteen (14) days of invoice date via bank transfer to our Australia Sydney office account. Late payments will attract interest at the rate prescribed under the Australian Consumer Law.</w:t>
      </w:r>
    </w:p>
    <w:p>
      <w:pPr>
        <w:numPr>
          <w:ilvl w:val="0"/>
          <w:numId w:val="1001"/>
        </w:numPr>
        <w:pStyle w:val="Compact"/>
      </w:pPr>
      <w:r>
        <w:rPr>
          <w:bCs/>
          <w:b/>
        </w:rPr>
        <w:t xml:space="preserve">Scope Limitations:</w:t>
      </w:r>
      <w:r>
        <w:t xml:space="preserve"> </w:t>
      </w:r>
      <w:r>
        <w:t xml:space="preserve">This</w:t>
      </w:r>
      <w:r>
        <w:t xml:space="preserve"> </w:t>
      </w:r>
      <w:r>
        <w:t xml:space="preserve">Quotation Estimate</w:t>
      </w:r>
      <w:r>
        <w:t xml:space="preserve"> </w:t>
      </w:r>
      <w:r>
        <w:t xml:space="preserve">covers the services explicitly listed in Section 2. Any additional work, including but not limited to tax audit support, litigation accounting, or forensic investigations, will be quoted separately by our</w:t>
      </w:r>
      <w:r>
        <w:t xml:space="preserve"> </w:t>
      </w:r>
      <w:r>
        <w:t xml:space="preserve">Accountant</w:t>
      </w:r>
      <w:r>
        <w:t xml:space="preserve"> </w:t>
      </w:r>
      <w:r>
        <w:t xml:space="preserve">team prior to commencement.</w:t>
      </w:r>
    </w:p>
    <w:p>
      <w:pPr>
        <w:numPr>
          <w:ilvl w:val="0"/>
          <w:numId w:val="1001"/>
        </w:numPr>
        <w:pStyle w:val="Compact"/>
      </w:pPr>
      <w:r>
        <w:rPr>
          <w:bCs/>
          <w:b/>
        </w:rPr>
        <w:t xml:space="preserve">Client Obligations:</w:t>
      </w:r>
      <w:r>
        <w:t xml:space="preserve"> </w:t>
      </w:r>
      <w:r>
        <w:t xml:space="preserve">The client agrees to provide all necessary financial records, bank statements, invoices, and supporting documentation in a timely manner. Delays in providing information may result in additional fees as determined by the assigned</w:t>
      </w:r>
      <w:r>
        <w:t xml:space="preserve"> </w:t>
      </w:r>
      <w:r>
        <w:t xml:space="preserve">Accountant</w:t>
      </w:r>
      <w:r>
        <w:t xml:space="preserve">.</w:t>
      </w:r>
    </w:p>
    <w:p>
      <w:pPr>
        <w:numPr>
          <w:ilvl w:val="0"/>
          <w:numId w:val="1001"/>
        </w:numPr>
        <w:pStyle w:val="Compact"/>
      </w:pPr>
      <w:r>
        <w:rPr>
          <w:bCs/>
          <w:b/>
        </w:rPr>
        <w:t xml:space="preserve">Confidentiality:</w:t>
      </w:r>
      <w:r>
        <w:t xml:space="preserve"> </w:t>
      </w:r>
      <w:r>
        <w:t xml:space="preserve">All financial data and business information shared during the engagement will be treated in strict confidence in accordance with the Privacy Act 1988 (Cth) and the professional ethical standards of CA ANZ.</w:t>
      </w:r>
    </w:p>
    <w:p>
      <w:pPr>
        <w:numPr>
          <w:ilvl w:val="0"/>
          <w:numId w:val="1001"/>
        </w:numPr>
        <w:pStyle w:val="Compact"/>
      </w:pPr>
      <w:r>
        <w:rPr>
          <w:bCs/>
          <w:b/>
        </w:rPr>
        <w:t xml:space="preserve">Regulatory Compliance:</w:t>
      </w:r>
      <w:r>
        <w:t xml:space="preserve"> </w:t>
      </w:r>
      <w:r>
        <w:t xml:space="preserve">All services will be performed in compliance with the Australian Accounting Standards, the Income Tax Assessment Act 1936, the A New Tax System (Goods and Services Tax) Act 1999, and all applicable regulations governing the Australia Sydney jurisdiction.</w:t>
      </w:r>
    </w:p>
    <w:p>
      <w:pPr>
        <w:numPr>
          <w:ilvl w:val="0"/>
          <w:numId w:val="1001"/>
        </w:numPr>
        <w:pStyle w:val="Compact"/>
      </w:pPr>
      <w:r>
        <w:rPr>
          <w:bCs/>
          <w:b/>
        </w:rPr>
        <w:t xml:space="preserve">Termination:</w:t>
      </w:r>
      <w:r>
        <w:t xml:space="preserve"> </w:t>
      </w:r>
      <w:r>
        <w:t xml:space="preserve">Either party may terminate this engagement with thirty (30) days written notice. Fees for work completed up to the termination date will be invoiced in full.</w:t>
      </w:r>
    </w:p>
    <w:bookmarkEnd w:id="25"/>
    <w:bookmarkStart w:id="26" w:name="additional-notes"/>
    <w:p>
      <w:pPr>
        <w:pStyle w:val="Heading2"/>
      </w:pPr>
      <w:r>
        <w:t xml:space="preserve">4. Additional Notes</w:t>
      </w:r>
    </w:p>
    <w:p>
      <w:pPr>
        <w:pStyle w:val="FirstParagraph"/>
      </w:pPr>
      <w:r>
        <w:rPr>
          <w:bCs/>
          <w:b/>
        </w:rPr>
        <w:t xml:space="preserve">Important:</w:t>
      </w:r>
      <w:r>
        <w:t xml:space="preserve"> </w:t>
      </w:r>
      <w:r>
        <w:t xml:space="preserve">This</w:t>
      </w:r>
      <w:r>
        <w:t xml:space="preserve"> </w:t>
      </w:r>
      <w:r>
        <w:t xml:space="preserve">Quotation Estimate</w:t>
      </w:r>
      <w:r>
        <w:t xml:space="preserve"> </w:t>
      </w:r>
      <w:r>
        <w:t xml:space="preserve">is an estimate only and does not constitute a fixed-price contract. Actual fees may vary depending on the complexity of transactions, the volume of documentation provided, and any changes in Australian tax legislation during the engagement period. Our</w:t>
      </w:r>
      <w:r>
        <w:t xml:space="preserve"> </w:t>
      </w:r>
      <w:r>
        <w:t xml:space="preserve">Accountant</w:t>
      </w:r>
      <w:r>
        <w:t xml:space="preserve"> </w:t>
      </w:r>
      <w:r>
        <w:t xml:space="preserve">will notify you in writing of any material changes to the estimated costs before additional work is performed. All services are to be rendered at our office located in Australia Sydney or via secure digital platforms as mutually agreed.</w:t>
      </w:r>
    </w:p>
    <w:bookmarkEnd w:id="26"/>
    <w:bookmarkStart w:id="27" w:name="acceptance-of-quotation-estimate"/>
    <w:p>
      <w:pPr>
        <w:pStyle w:val="Heading2"/>
      </w:pPr>
      <w:r>
        <w:t xml:space="preserve">5. Acceptance of Quotation Estimate</w:t>
      </w:r>
    </w:p>
    <w:p>
      <w:pPr>
        <w:pStyle w:val="FirstParagraph"/>
      </w:pPr>
      <w:r>
        <w:t xml:space="preserve">By signing below, the client acknowledges that they have read, understood, and accepted the terms, conditions, and pricing outlined in this</w:t>
      </w:r>
      <w:r>
        <w:t xml:space="preserve"> </w:t>
      </w:r>
      <w:r>
        <w:t xml:space="preserve">Quotation Estimate</w:t>
      </w:r>
      <w:r>
        <w:t xml:space="preserve"> </w:t>
      </w:r>
      <w:r>
        <w:t xml:space="preserve">for the</w:t>
      </w:r>
      <w:r>
        <w:t xml:space="preserve"> </w:t>
      </w:r>
      <w:r>
        <w:t xml:space="preserve">Accountant</w:t>
      </w:r>
      <w:r>
        <w:t xml:space="preserve"> </w:t>
      </w:r>
      <w:r>
        <w:t xml:space="preserve">services to be provided in Australia Sydney.</w:t>
      </w:r>
    </w:p>
    <w:p>
      <w:pPr>
        <w:pStyle w:val="BodyText"/>
      </w:pPr>
      <w:r>
        <w:rPr>
          <w:bCs/>
          <w:b/>
        </w:rPr>
        <w:t xml:space="preserve">For and on behalf of Sydney Professional Accounting Services Pty Ltd</w:t>
      </w:r>
    </w:p>
    <w:p>
      <w:pPr>
        <w:pStyle w:val="BodyText"/>
      </w:pPr>
      <w:r>
        <w:t xml:space="preserve">Name: Margaret Chen, CPA</w:t>
      </w:r>
    </w:p>
    <w:p>
      <w:pPr>
        <w:pStyle w:val="BodyText"/>
      </w:pPr>
      <w:r>
        <w:t xml:space="preserve">Title: Principal Accountant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Harbourview Trading Co. Pty Ltd</w:t>
      </w:r>
    </w:p>
    <w:p>
      <w:pPr>
        <w:pStyle w:val="BodyText"/>
      </w:pPr>
      <w:r>
        <w:t xml:space="preserve">Name: David Okafor</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bookmarkEnd w:id="27"/>
    <w:p>
      <w:pPr>
        <w:pStyle w:val="BodyText"/>
      </w:pPr>
      <w:r>
        <w:t xml:space="preserve">Sydney Professional Accounting Services Pty Ltd | ABN 12 345 678 901 | Level 12, 200 George Street, Sydney NSW 2000, Australia</w:t>
      </w:r>
    </w:p>
    <w:p>
      <w:pPr>
        <w:pStyle w:val="BodyText"/>
      </w:pPr>
      <w:r>
        <w:t xml:space="preserve">This Quotation Estimate document is the property of Sydney Professional Accounting Services Pty Ltd and is intended solely for the use of the addressee.</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Australia Sydney</dc:title>
  <dc:creator/>
  <dc:language>en</dc:language>
  <cp:keywords/>
  <dcterms:created xsi:type="dcterms:W3CDTF">2026-10-10T06:41:21Z</dcterms:created>
  <dcterms:modified xsi:type="dcterms:W3CDTF">2026-10-10T06:41:21Z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