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rPr>
          <w:bCs/>
          <w:b/>
        </w:rPr>
        <w:t xml:space="preserve">Professional Accountant Services</w:t>
      </w:r>
    </w:p>
    <w:p>
      <w:pPr>
        <w:pStyle w:val="BodyText"/>
      </w:pPr>
      <w:r>
        <w:t xml:space="preserve">Dhaka, Bangladesh</w:t>
      </w:r>
    </w:p>
    <w:p>
      <w:pPr>
        <w:pStyle w:val="BodyText"/>
      </w:pPr>
      <w:r>
        <w:t xml:space="preserve">Document Reference: QE-ACCT-DHK-2025-0047</w:t>
      </w:r>
    </w:p>
    <w:bookmarkEnd w:id="20"/>
    <w:p>
      <w:pPr>
        <w:pStyle w:val="BodyText"/>
      </w:pPr>
      <w:r>
        <w:rPr>
          <w:bCs/>
          <w:b/>
        </w:rPr>
        <w:t xml:space="preserve">Date of Issue:</w:t>
      </w:r>
      <w:r>
        <w:t xml:space="preserve"> </w:t>
      </w:r>
      <w:r>
        <w:t xml:space="preserve">15 June 2025</w:t>
      </w:r>
      <w:r>
        <w:br/>
      </w:r>
      <w:r>
        <w:rPr>
          <w:bCs/>
          <w:b/>
        </w:rPr>
        <w:t xml:space="preserve">Quotation Valid Until:</w:t>
      </w:r>
      <w:r>
        <w:t xml:space="preserve"> </w:t>
      </w:r>
      <w:r>
        <w:t xml:space="preserve">15 July 2025</w:t>
      </w:r>
      <w:r>
        <w:br/>
      </w:r>
      <w:r>
        <w:rPr>
          <w:bCs/>
          <w:b/>
        </w:rPr>
        <w:t xml:space="preserve">Prepared By:</w:t>
      </w:r>
      <w:r>
        <w:t xml:space="preserve"> </w:t>
      </w:r>
      <w:r>
        <w:t xml:space="preserve">Mr. Tanvir Ahmed, Senior Consultant</w:t>
      </w:r>
    </w:p>
    <w:p>
      <w:pPr>
        <w:pStyle w:val="BodyText"/>
      </w:pPr>
      <w:r>
        <w:rPr>
          <w:bCs/>
          <w:b/>
        </w:rPr>
        <w:t xml:space="preserve">Client Name:</w:t>
      </w:r>
      <w:r>
        <w:t xml:space="preserve"> </w:t>
      </w:r>
      <w:r>
        <w:t xml:space="preserve">[Client Company Name]</w:t>
      </w:r>
      <w:r>
        <w:br/>
      </w:r>
      <w:r>
        <w:rPr>
          <w:bCs/>
          <w:b/>
        </w:rPr>
        <w:t xml:space="preserve">Address:</w:t>
      </w:r>
      <w:r>
        <w:t xml:space="preserve"> </w:t>
      </w:r>
      <w:r>
        <w:t xml:space="preserve">Gulshan Avenue, Dhaka 1212, Bangladesh</w:t>
      </w:r>
      <w:r>
        <w:br/>
      </w:r>
      <w:r>
        <w:rPr>
          <w:bCs/>
          <w:b/>
        </w:rPr>
        <w:t xml:space="preserve">Contact:</w:t>
      </w:r>
      <w:r>
        <w:t xml:space="preserve"> </w:t>
      </w:r>
      <w:r>
        <w:t xml:space="preserve">+880-17XX-XXXXXX</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specifically to outline the comprehensive professional services that our firm will provide as a dedicated</w:t>
      </w:r>
      <w:r>
        <w:t xml:space="preserve"> </w:t>
      </w:r>
      <w:r>
        <w:t xml:space="preserve">Accountant</w:t>
      </w:r>
      <w:r>
        <w:t xml:space="preserve"> </w:t>
      </w:r>
      <w:r>
        <w:t xml:space="preserve">to the above-named client, operating within the commercial and industrial landscape of</w:t>
      </w:r>
      <w:r>
        <w:t xml:space="preserve"> </w:t>
      </w:r>
      <w:r>
        <w:t xml:space="preserve">Bangladesh Dhaka</w:t>
      </w:r>
      <w:r>
        <w:t xml:space="preserve">. We understand that businesses in Dhaka face unique financial compliance challenges, including adherence to the Bangladesh Bank regulations, the Income Tax Ordinance 1984, the Value Added Tax (VAT) Act, and the Companies Act 1994. This Quotation Estimate is designed to give the client a transparent, itemized breakdown of all costs associated with engaging our Accountant services for a full fiscal year.</w:t>
      </w:r>
    </w:p>
    <w:bookmarkEnd w:id="21"/>
    <w:bookmarkStart w:id="22" w:name="X9c5e9fcea366fe80eece580cdaaaadb2348fffa"/>
    <w:p>
      <w:pPr>
        <w:pStyle w:val="Heading2"/>
      </w:pPr>
      <w:r>
        <w:t xml:space="preserve">2. Scope of Accountant Services in Bangladesh Dhaka</w:t>
      </w:r>
    </w:p>
    <w:p>
      <w:pPr>
        <w:pStyle w:val="FirstParagraph"/>
      </w:pPr>
      <w:r>
        <w:t xml:space="preserve">As the designated</w:t>
      </w:r>
      <w:r>
        <w:t xml:space="preserve"> </w:t>
      </w:r>
      <w:r>
        <w:t xml:space="preserve">Accountant</w:t>
      </w:r>
      <w:r>
        <w:t xml:space="preserve"> </w:t>
      </w:r>
      <w:r>
        <w:t xml:space="preserve">for your organization in</w:t>
      </w:r>
      <w:r>
        <w:t xml:space="preserve"> </w:t>
      </w:r>
      <w:r>
        <w:t xml:space="preserve">Bangladesh Dhaka</w:t>
      </w:r>
      <w:r>
        <w:t xml:space="preserve">, our firm will deliver the following professional services on a monthly and annual basis. Each service has been carefully structured to meet the regulatory requirements of the National Board of Revenue (NBR), the Registrar of Joint Stock Companies and Firms (RJSC), and the Bangladesh Securities and Exchange Commission (BSEC) where applicable.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Sl.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Monthly Fee (BDT)</w:t>
            </w:r>
          </w:p>
        </w:tc>
        <w:tc>
          <w:tcPr/>
          <w:p>
            <w:pPr>
              <w:pStyle w:val="Compact"/>
              <w:jc w:val="left"/>
            </w:pPr>
            <w:r>
              <w:t xml:space="preserve">Annual Fee (BDT)</w:t>
            </w:r>
          </w:p>
        </w:tc>
      </w:tr>
      <w:tr>
        <w:tc>
          <w:tcPr/>
          <w:p>
            <w:pPr>
              <w:pStyle w:val="Compact"/>
              <w:jc w:val="left"/>
            </w:pPr>
            <w:r>
              <w:t xml:space="preserve">01</w:t>
            </w:r>
          </w:p>
        </w:tc>
        <w:tc>
          <w:tcPr/>
          <w:p>
            <w:pPr>
              <w:pStyle w:val="Compact"/>
              <w:jc w:val="left"/>
            </w:pPr>
            <w:r>
              <w:t xml:space="preserve">Monthly bookkeeping, journal entries, and ledger maintenance for all business transactions in Dhaka</w:t>
            </w:r>
          </w:p>
        </w:tc>
        <w:tc>
          <w:tcPr/>
          <w:p>
            <w:pPr>
              <w:pStyle w:val="Compact"/>
              <w:jc w:val="left"/>
            </w:pPr>
            <w:r>
              <w:t xml:space="preserve">Monthly</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02</w:t>
            </w:r>
          </w:p>
        </w:tc>
        <w:tc>
          <w:tcPr/>
          <w:p>
            <w:pPr>
              <w:pStyle w:val="Compact"/>
              <w:jc w:val="left"/>
            </w:pPr>
            <w:r>
              <w:t xml:space="preserve">Preparation and filing of monthly VAT returns (Form 1) with the NBR Dhaka office</w:t>
            </w:r>
          </w:p>
        </w:tc>
        <w:tc>
          <w:tcPr/>
          <w:p>
            <w:pPr>
              <w:pStyle w:val="Compact"/>
              <w:jc w:val="left"/>
            </w:pPr>
            <w:r>
              <w:t xml:space="preserve">Monthly</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Preparation and submission of TDS (Tax Deducted at Source) returns to the NBR</w:t>
            </w:r>
          </w:p>
        </w:tc>
        <w:tc>
          <w:tcPr/>
          <w:p>
            <w:pPr>
              <w:pStyle w:val="Compact"/>
              <w:jc w:val="left"/>
            </w:pPr>
            <w:r>
              <w:t xml:space="preserve">Monthly</w:t>
            </w:r>
          </w:p>
        </w:tc>
        <w:tc>
          <w:tcPr/>
          <w:p>
            <w:pPr>
              <w:pStyle w:val="Compact"/>
              <w:jc w:val="left"/>
            </w:pPr>
            <w:r>
              <w:t xml:space="preserve">10,000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Payroll processing, salary disbursement records, and social security contribution filings for all employees in Dhaka</w:t>
            </w:r>
          </w:p>
        </w:tc>
        <w:tc>
          <w:tcPr/>
          <w:p>
            <w:pPr>
              <w:pStyle w:val="Compact"/>
              <w:jc w:val="left"/>
            </w:pPr>
            <w:r>
              <w:t xml:space="preserve">Monthly</w:t>
            </w:r>
          </w:p>
        </w:tc>
        <w:tc>
          <w:tcPr/>
          <w:p>
            <w:pPr>
              <w:pStyle w:val="Compact"/>
              <w:jc w:val="left"/>
            </w:pPr>
            <w:r>
              <w:t xml:space="preserve">20,000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Preparation of monthly management accounts, profit and loss statements, and balance sheets</w:t>
            </w:r>
          </w:p>
        </w:tc>
        <w:tc>
          <w:tcPr/>
          <w:p>
            <w:pPr>
              <w:pStyle w:val="Compact"/>
              <w:jc w:val="left"/>
            </w:pPr>
            <w:r>
              <w:t xml:space="preserve">Monthly</w:t>
            </w:r>
          </w:p>
        </w:tc>
        <w:tc>
          <w:tcPr/>
          <w:p>
            <w:pPr>
              <w:pStyle w:val="Compact"/>
              <w:jc w:val="left"/>
            </w:pPr>
            <w:r>
              <w:t xml:space="preserve">18,000</w:t>
            </w:r>
          </w:p>
        </w:tc>
        <w:tc>
          <w:tcPr/>
          <w:p>
            <w:pPr>
              <w:pStyle w:val="Compact"/>
              <w:jc w:val="left"/>
            </w:pPr>
            <w:r>
              <w:t xml:space="preserve">216,000</w:t>
            </w:r>
          </w:p>
        </w:tc>
      </w:tr>
      <w:tr>
        <w:tc>
          <w:tcPr/>
          <w:p>
            <w:pPr>
              <w:pStyle w:val="Compact"/>
              <w:jc w:val="left"/>
            </w:pPr>
            <w:r>
              <w:t xml:space="preserve">06</w:t>
            </w:r>
          </w:p>
        </w:tc>
        <w:tc>
          <w:tcPr/>
          <w:p>
            <w:pPr>
              <w:pStyle w:val="Compact"/>
              <w:jc w:val="left"/>
            </w:pPr>
            <w:r>
              <w:t xml:space="preserve">Annual income tax return preparation and filing (Form 10) with the NBR Dhaka</w:t>
            </w:r>
          </w:p>
        </w:tc>
        <w:tc>
          <w:tcPr/>
          <w:p>
            <w:pPr>
              <w:pStyle w:val="Compact"/>
              <w:jc w:val="left"/>
            </w:pPr>
            <w:r>
              <w:t xml:space="preserve">Annual</w:t>
            </w:r>
          </w:p>
        </w:tc>
        <w:tc>
          <w:tcPr/>
          <w:p>
            <w:pPr>
              <w:pStyle w:val="Compact"/>
              <w:jc w:val="left"/>
            </w:pPr>
            <w:r>
              <w:t xml:space="preserve">—</w:t>
            </w:r>
          </w:p>
        </w:tc>
        <w:tc>
          <w:tcPr/>
          <w:p>
            <w:pPr>
              <w:pStyle w:val="Compact"/>
              <w:jc w:val="left"/>
            </w:pPr>
            <w:r>
              <w:t xml:space="preserve">85,000</w:t>
            </w:r>
          </w:p>
        </w:tc>
      </w:tr>
      <w:tr>
        <w:tc>
          <w:tcPr/>
          <w:p>
            <w:pPr>
              <w:pStyle w:val="Compact"/>
              <w:jc w:val="left"/>
            </w:pPr>
            <w:r>
              <w:t xml:space="preserve">07</w:t>
            </w:r>
          </w:p>
        </w:tc>
        <w:tc>
          <w:tcPr/>
          <w:p>
            <w:pPr>
              <w:pStyle w:val="Compact"/>
              <w:jc w:val="left"/>
            </w:pPr>
            <w:r>
              <w:t xml:space="preserve">Annual financial statement preparation, audit coordination, and RJSC annual return filing</w:t>
            </w:r>
          </w:p>
        </w:tc>
        <w:tc>
          <w:tcPr/>
          <w:p>
            <w:pPr>
              <w:pStyle w:val="Compact"/>
              <w:jc w:val="left"/>
            </w:pPr>
            <w:r>
              <w:t xml:space="preserve">Annual</w:t>
            </w:r>
          </w:p>
        </w:tc>
        <w:tc>
          <w:tcPr/>
          <w:p>
            <w:pPr>
              <w:pStyle w:val="Compact"/>
              <w:jc w:val="left"/>
            </w:pPr>
            <w:r>
              <w:t xml:space="preserve">—</w:t>
            </w:r>
          </w:p>
        </w:tc>
        <w:tc>
          <w:tcPr/>
          <w:p>
            <w:pPr>
              <w:pStyle w:val="Compact"/>
              <w:jc w:val="left"/>
            </w:pPr>
            <w:r>
              <w:t xml:space="preserve">65,000</w:t>
            </w:r>
          </w:p>
        </w:tc>
      </w:tr>
      <w:tr>
        <w:tc>
          <w:tcPr/>
          <w:p>
            <w:pPr>
              <w:pStyle w:val="Compact"/>
              <w:jc w:val="left"/>
            </w:pPr>
            <w:r>
              <w:t xml:space="preserve">08</w:t>
            </w:r>
          </w:p>
        </w:tc>
        <w:tc>
          <w:tcPr/>
          <w:p>
            <w:pPr>
              <w:pStyle w:val="Compact"/>
              <w:jc w:val="left"/>
            </w:pPr>
            <w:r>
              <w:t xml:space="preserve">Bank reconciliation, cash flow monitoring, and financial advisory sessions in Dhaka</w:t>
            </w:r>
          </w:p>
        </w:tc>
        <w:tc>
          <w:tcPr/>
          <w:p>
            <w:pPr>
              <w:pStyle w:val="Compact"/>
              <w:jc w:val="left"/>
            </w:pPr>
            <w:r>
              <w:t xml:space="preserve">Monthly</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09</w:t>
            </w:r>
          </w:p>
        </w:tc>
        <w:tc>
          <w:tcPr/>
          <w:p>
            <w:pPr>
              <w:pStyle w:val="Compact"/>
              <w:jc w:val="left"/>
            </w:pPr>
            <w:r>
              <w:t xml:space="preserve">Compliance advisory on Bangladesh labor law, minimum wage updates, and statutory deductions</w:t>
            </w:r>
          </w:p>
        </w:tc>
        <w:tc>
          <w:tcPr/>
          <w:p>
            <w:pPr>
              <w:pStyle w:val="Compact"/>
              <w:jc w:val="left"/>
            </w:pPr>
            <w:r>
              <w:t xml:space="preserve">Quarterly</w:t>
            </w:r>
          </w:p>
        </w:tc>
        <w:tc>
          <w:tcPr/>
          <w:p>
            <w:pPr>
              <w:pStyle w:val="Compact"/>
              <w:jc w:val="left"/>
            </w:pPr>
            <w:r>
              <w:t xml:space="preserve">—</w:t>
            </w:r>
          </w:p>
        </w:tc>
        <w:tc>
          <w:tcPr/>
          <w:p>
            <w:pPr>
              <w:pStyle w:val="Compact"/>
              <w:jc w:val="left"/>
            </w:pPr>
            <w:r>
              <w:t xml:space="preserve">40,000</w:t>
            </w:r>
          </w:p>
        </w:tc>
      </w:tr>
      <w:tr>
        <w:tc>
          <w:tcPr/>
          <w:p>
            <w:pPr>
              <w:pStyle w:val="Compact"/>
              <w:jc w:val="left"/>
            </w:pPr>
            <w:r>
              <w:t xml:space="preserve">10</w:t>
            </w:r>
          </w:p>
        </w:tc>
        <w:tc>
          <w:tcPr/>
          <w:p>
            <w:pPr>
              <w:pStyle w:val="Compact"/>
              <w:jc w:val="left"/>
            </w:pPr>
            <w:r>
              <w:t xml:space="preserve">Access to accounting software (Tally / QuickBooks) setup, data migration, and technical support</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50,000</w:t>
            </w:r>
          </w:p>
        </w:tc>
      </w:tr>
      <w:tr>
        <w:tc>
          <w:tcPr>
            <w:gridSpan w:val="3"/>
          </w:tcPr>
          <w:p>
            <w:pPr>
              <w:pStyle w:val="Compact"/>
              <w:jc w:val="left"/>
            </w:pPr>
            <w:r>
              <w:t xml:space="preserve">TOTAL ANNUAL QUOTATION ESTIMATE</w:t>
            </w:r>
          </w:p>
        </w:tc>
        <w:tc>
          <w:tcPr/>
          <w:p>
            <w:pPr>
              <w:pStyle w:val="Compact"/>
              <w:jc w:val="left"/>
            </w:pPr>
            <w:r>
              <w:t xml:space="preserve">—</w:t>
            </w:r>
          </w:p>
        </w:tc>
        <w:tc>
          <w:tcPr/>
          <w:p>
            <w:pPr>
              <w:pStyle w:val="Compact"/>
              <w:jc w:val="left"/>
            </w:pPr>
            <w:r>
              <w:t xml:space="preserve">1,440,000 BDT</w:t>
            </w:r>
          </w:p>
        </w:tc>
      </w:tr>
    </w:tbl>
    <w:bookmarkEnd w:id="22"/>
    <w:bookmarkStart w:id="23" w:name="additional-charges-and-exclusions"/>
    <w:p>
      <w:pPr>
        <w:pStyle w:val="Heading2"/>
      </w:pPr>
      <w:r>
        <w:t xml:space="preserve">3. Additional Charges and Exclusions</w:t>
      </w:r>
    </w:p>
    <w:p>
      <w:pPr>
        <w:pStyle w:val="FirstParagraph"/>
      </w:pPr>
      <w:r>
        <w:t xml:space="preserve">The above</w:t>
      </w:r>
      <w:r>
        <w:t xml:space="preserve"> </w:t>
      </w:r>
      <w:r>
        <w:t xml:space="preserve">Quotation Estimate</w:t>
      </w:r>
      <w:r>
        <w:t xml:space="preserve"> </w:t>
      </w:r>
      <w:r>
        <w:t xml:space="preserve">does not include the following, which will be billed separately if required:</w:t>
      </w:r>
    </w:p>
    <w:p>
      <w:pPr>
        <w:pStyle w:val="BodyText"/>
      </w:pPr>
      <w:r>
        <w:t xml:space="preserve">(a) Statutory audit fees as per the Bangladesh Institute of Chartered Accountants (BICA) schedule; (b) Legal fees for tax litigation or NBR assessment disputes in Dhaka; (c) Travel expenses for on-site visits beyond the Gulshan–Banani–Baridhara commercial zone in Dhaka; (d) Any government stamp duty, filing fees, or NBR processing charges levied by the Bangladesh government; (e) Services related to foreign currency transactions or international transfer pricing documentation.</w:t>
      </w:r>
    </w:p>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is valid for thirty (30) calendar days from the date of issue. After this period, the fees may be revised to reflect changes in the Bangladesh cost of living index or regulatory fee structures.</w:t>
      </w:r>
    </w:p>
    <w:p>
      <w:pPr>
        <w:pStyle w:val="BodyText"/>
      </w:pPr>
      <w:r>
        <w:rPr>
          <w:bCs/>
          <w:b/>
        </w:rPr>
        <w:t xml:space="preserve">4.2 Payment Terms:</w:t>
      </w:r>
      <w:r>
        <w:t xml:space="preserve"> </w:t>
      </w:r>
      <w:r>
        <w:t xml:space="preserve">The client shall pay a 25% advance upon acceptance of this Quotation Estimate. The remaining balance shall be paid in equal monthly installments within the first five (5) working days of each month. All payments shall be made in Bangladeshi Taka (BDT) via bank transfer to our account at a commercial bank in Dhaka.</w:t>
      </w:r>
    </w:p>
    <w:p>
      <w:pPr>
        <w:pStyle w:val="BodyText"/>
      </w:pPr>
      <w:r>
        <w:rPr>
          <w:bCs/>
          <w:b/>
        </w:rPr>
        <w:t xml:space="preserve">4.3 Engagement Period:</w:t>
      </w:r>
      <w:r>
        <w:t xml:space="preserve"> </w:t>
      </w:r>
      <w:r>
        <w:t xml:space="preserve">The</w:t>
      </w:r>
      <w:r>
        <w:t xml:space="preserve"> </w:t>
      </w:r>
      <w:r>
        <w:t xml:space="preserve">Accountant</w:t>
      </w:r>
      <w:r>
        <w:t xml:space="preserve"> </w:t>
      </w:r>
      <w:r>
        <w:t xml:space="preserve">services outlined in this document are for a period of twelve (12) months, commencing from the date of the signed service agreement. Renewal shall be subject to mutual written consent at least thirty (30) days before the expiry of the current term.</w:t>
      </w:r>
    </w:p>
    <w:p>
      <w:pPr>
        <w:pStyle w:val="BodyText"/>
      </w:pPr>
      <w:r>
        <w:rPr>
          <w:bCs/>
          <w:b/>
        </w:rPr>
        <w:t xml:space="preserve">4.4 Confidentiality:</w:t>
      </w:r>
      <w:r>
        <w:t xml:space="preserve"> </w:t>
      </w:r>
      <w:r>
        <w:t xml:space="preserve">Our firm, acting as the Accountant, shall maintain strict confidentiality over all financial records, trade secrets, and proprietary data of the client. This obligation shall survive the termination of the engagement for a period of three (3) years.</w:t>
      </w:r>
    </w:p>
    <w:p>
      <w:pPr>
        <w:pStyle w:val="BodyText"/>
      </w:pPr>
      <w:r>
        <w:rPr>
          <w:bCs/>
          <w:b/>
        </w:rPr>
        <w:t xml:space="preserve">4.5 Termination:</w:t>
      </w:r>
      <w:r>
        <w:t xml:space="preserve"> </w:t>
      </w:r>
      <w:r>
        <w:t xml:space="preserve">Either party may terminate this engagement with thirty (30) days written notice. In the event of early termination by the client, all fees for services rendered up to the termination date, plus a 10% administrative charge, shall be due.</w:t>
      </w:r>
    </w:p>
    <w:p>
      <w:pPr>
        <w:pStyle w:val="BodyText"/>
      </w:pPr>
      <w:r>
        <w:rPr>
          <w:bCs/>
          <w:b/>
        </w:rPr>
        <w:t xml:space="preserve">4.6 Jurisdiction:</w:t>
      </w:r>
      <w:r>
        <w:t xml:space="preserve"> </w:t>
      </w:r>
      <w:r>
        <w:t xml:space="preserve">Any disputes arising from this Quotation Estimate or the subsequent service agreement shall be governed by the laws of the People's Republic of Bangladesh and shall be subject to the exclusive jurisdiction of the courts in Dhaka, Bangladesh.</w:t>
      </w:r>
    </w:p>
    <w:p>
      <w:pPr>
        <w:pStyle w:val="BodyText"/>
      </w:pPr>
      <w:r>
        <w:rPr>
          <w:bCs/>
          <w:b/>
        </w:rPr>
        <w:t xml:space="preserve">Note:</w:t>
      </w:r>
      <w:r>
        <w:t xml:space="preserve"> </w:t>
      </w:r>
      <w:r>
        <w:t xml:space="preserve">This Quotation Estimate is a non-binding document prepared for the client's evaluation purposes. It does not constitute a contractual obligation until a formal Service Agreement is executed by both parties. All fees are exclusive of applicable taxes unless otherwise stated. The Accountant services will be delivered by a team of qualified professionals (BBA/MBA in Accounting, BICA members) based in our office at Level 7, Gulshan C/A, Dhaka 1212, Bangladesh.</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Accountant</w:t>
      </w:r>
      <w:r>
        <w:t xml:space="preserve"> </w:t>
      </w:r>
      <w:r>
        <w:t xml:space="preserve">services in</w:t>
      </w:r>
      <w:r>
        <w:t xml:space="preserve"> </w:t>
      </w:r>
      <w:r>
        <w:t xml:space="preserve">Bangladesh Dhaka</w:t>
      </w:r>
      <w:r>
        <w:t xml:space="preserve"> </w:t>
      </w:r>
      <w:r>
        <w:t xml:space="preserve">and agrees to the terms and conditions outlined herein. The engagement shall commence upon receipt of the advance payment and execution of the formal Service Agreement.</w:t>
      </w:r>
    </w:p>
    <w:p>
      <w:pPr>
        <w:pStyle w:val="BodyText"/>
      </w:pPr>
      <w:r>
        <w:rPr>
          <w:bCs/>
          <w:b/>
        </w:rPr>
        <w:t xml:space="preserve">For and on behalf of the Service Provider</w:t>
      </w:r>
      <w:r>
        <w:br/>
      </w:r>
      <w:r>
        <w:t xml:space="preserve">Name: Tanvir Ahmed</w:t>
      </w:r>
      <w:r>
        <w:br/>
      </w:r>
      <w:r>
        <w:t xml:space="preserve">Designation: Managing Partner</w:t>
      </w:r>
      <w:r>
        <w:br/>
      </w:r>
      <w:r>
        <w:t xml:space="preserve">Date: _______________</w:t>
      </w:r>
    </w:p>
    <w:p>
      <w:pPr>
        <w:pStyle w:val="BodyText"/>
      </w:pPr>
      <w:r>
        <w:rPr>
          <w:bCs/>
          <w:b/>
        </w:rPr>
        <w:t xml:space="preserve">For and on behalf of the Client</w:t>
      </w:r>
      <w:r>
        <w:br/>
      </w:r>
      <w:r>
        <w:t xml:space="preserve">Name: _________________________</w:t>
      </w:r>
      <w:r>
        <w:br/>
      </w:r>
      <w:r>
        <w:t xml:space="preserve">Designation: _________________________</w:t>
      </w:r>
      <w:r>
        <w:br/>
      </w:r>
      <w:r>
        <w:t xml:space="preserve">Date: _______________</w:t>
      </w:r>
    </w:p>
    <w:p>
      <w:pPr>
        <w:pStyle w:val="BodyText"/>
      </w:pPr>
      <w:r>
        <w:t xml:space="preserve">This Quotation Estimate document was prepared by our professional Accountant advisory team in Bangladesh Dhaka. For queries or clarifications, please contact us at +880-2-988XXXXX or email: accounts@dhakaaccountants.com.bd. We look forward to serving your financial compliance needs in Dhaka, Bangladesh.</w:t>
      </w:r>
    </w:p>
    <w:p>
      <w:pPr>
        <w:pStyle w:val="BodyText"/>
      </w:pPr>
      <w:r>
        <w:t xml:space="preserve">Page 1 of 1 | Document ID: QE-ACCT-DHK-2025-0047 | Confidential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Bangladesh Dhaka</dc:title>
  <dc:creator/>
  <dc:language>en</dc:language>
  <cp:keywords/>
  <dcterms:created xsi:type="dcterms:W3CDTF">2026-10-10T10:21:15Z</dcterms:created>
  <dcterms:modified xsi:type="dcterms:W3CDTF">2026-10-10T10:21:15Z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