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quotation-estimate"/>
    <w:p>
      <w:pPr>
        <w:pStyle w:val="Heading1"/>
      </w:pPr>
      <w:r>
        <w:t xml:space="preserve">QUOTATION ESTIMATE</w:t>
      </w:r>
    </w:p>
    <w:p>
      <w:pPr>
        <w:pStyle w:val="FirstParagraph"/>
      </w:pPr>
      <w:r>
        <w:t xml:space="preserve">Professional Accountant Services — Belgium Brussels</w:t>
      </w:r>
    </w:p>
    <w:p>
      <w:pPr>
        <w:pStyle w:val="BodyText"/>
      </w:pPr>
      <w:r>
        <w:t xml:space="preserve">Ref: QTE-BRU-2025-0472</w:t>
      </w:r>
    </w:p>
    <w:bookmarkEnd w:id="20"/>
    <w:p>
      <w:pPr>
        <w:pStyle w:val="BodyText"/>
      </w:pPr>
      <w:r>
        <w:rPr>
          <w:bCs/>
          <w:b/>
        </w:rPr>
        <w:t xml:space="preserve">From:</w:t>
      </w:r>
      <w:r>
        <w:br/>
      </w:r>
      <w:r>
        <w:t xml:space="preserve">Brussels Accounting Partners SRL</w:t>
      </w:r>
      <w:r>
        <w:br/>
      </w:r>
      <w:r>
        <w:t xml:space="preserve">Avenue Louise 245, 1050 Brussels, Belgium</w:t>
      </w:r>
      <w:r>
        <w:br/>
      </w:r>
      <w:r>
        <w:t xml:space="preserve">VAT: BE 0765.432.109</w:t>
      </w:r>
      <w:r>
        <w:br/>
      </w:r>
      <w:r>
        <w:t xml:space="preserve">Tel: +32 2 555 0147</w:t>
      </w:r>
      <w:r>
        <w:br/>
      </w:r>
      <w:r>
        <w:t xml:space="preserve">Email: quotes@brusselsaccounting.be</w:t>
      </w:r>
    </w:p>
    <w:p>
      <w:pPr>
        <w:pStyle w:val="BodyText"/>
      </w:pPr>
      <w:r>
        <w:rPr>
          <w:bCs/>
          <w:b/>
        </w:rPr>
        <w:t xml:space="preserve">To:</w:t>
      </w:r>
      <w:r>
        <w:br/>
      </w:r>
      <w:r>
        <w:t xml:space="preserve">[Client Name / Company Name]</w:t>
      </w:r>
      <w:r>
        <w:br/>
      </w:r>
      <w:r>
        <w:t xml:space="preserve">[Street Address]</w:t>
      </w:r>
      <w:r>
        <w:br/>
      </w:r>
      <w:r>
        <w:t xml:space="preserve">[Postal Code, City], Belgium</w:t>
      </w:r>
      <w:r>
        <w:br/>
      </w:r>
      <w:r>
        <w:t xml:space="preserve">VAT: BE [XXXXXXXXX]</w:t>
      </w:r>
    </w:p>
    <w:p>
      <w:pPr>
        <w:pStyle w:val="BodyText"/>
      </w:pPr>
      <w:r>
        <w:rPr>
          <w:bCs/>
          <w:b/>
        </w:rPr>
        <w:t xml:space="preserve">Date:</w:t>
      </w:r>
      <w:r>
        <w:t xml:space="preserve"> </w:t>
      </w:r>
      <w:r>
        <w:t xml:space="preserve">15 June 2025</w:t>
      </w:r>
      <w:r>
        <w:br/>
      </w:r>
      <w:r>
        <w:rPr>
          <w:bCs/>
          <w:b/>
        </w:rPr>
        <w:t xml:space="preserve">Valid Until:</w:t>
      </w:r>
      <w:r>
        <w:t xml:space="preserve"> </w:t>
      </w:r>
      <w:r>
        <w:t xml:space="preserve">15 July 2025</w:t>
      </w:r>
      <w:r>
        <w:br/>
      </w:r>
      <w:r>
        <w:rPr>
          <w:bCs/>
          <w:b/>
        </w:rPr>
        <w:t xml:space="preserve">Quotation Estimate No.:</w:t>
      </w:r>
      <w:r>
        <w:t xml:space="preserve"> </w:t>
      </w:r>
      <w:r>
        <w:t xml:space="preserve">QTE-BRU-2025-0472</w:t>
      </w:r>
    </w:p>
    <w:bookmarkStart w:id="21" w:name="purpose-of-this-quotation-estimate"/>
    <w:p>
      <w:pPr>
        <w:pStyle w:val="Heading2"/>
      </w:pPr>
      <w:r>
        <w:t xml:space="preserve">1. Purpose of This Quotation Estimate</w:t>
      </w:r>
    </w:p>
    <w:p>
      <w:pPr>
        <w:pStyle w:val="FirstParagraph"/>
      </w:pPr>
      <w:r>
        <w:t xml:space="preserve">This Quotation Estimate is issued by Brussels Accounting Partners SRL to provide a comprehensive and transparent overview of the professional Accountant services that will be rendered to the client within the jurisdiction of Belgium Brussels. This document serves as a formal, non-binding estimate of costs, scope of work, and deliverables associated with the engagement of a qualified Accountant to manage, prepare, and file all statutory and advisory financial obligations in accordance with Belgian law and the regulations enforced by the Belgian Federal Public Service Finance (FPS Finance) and the Brussels-Capital Region authorities.</w:t>
      </w:r>
    </w:p>
    <w:p>
      <w:pPr>
        <w:pStyle w:val="BodyText"/>
      </w:pPr>
      <w:r>
        <w:t xml:space="preserve">The Quotation Estimate has been prepared specifically for operations conducted in Belgium Brussels, taking into account the unique fiscal framework of the Brussels-Capital Region, including applicable municipal taxes, the Brussels Economic Development Agency (BEDA) incentive structures, and the specific reporting requirements mandated for entities registered in the Brussels Chamber of Commerce.</w:t>
      </w:r>
    </w:p>
    <w:bookmarkEnd w:id="21"/>
    <w:bookmarkStart w:id="22" w:name="scope-of-accountant-services"/>
    <w:p>
      <w:pPr>
        <w:pStyle w:val="Heading2"/>
      </w:pPr>
      <w:r>
        <w:t xml:space="preserve">2. Scope of Accountant Services</w:t>
      </w:r>
    </w:p>
    <w:p>
      <w:pPr>
        <w:pStyle w:val="FirstParagraph"/>
      </w:pPr>
      <w:r>
        <w:t xml:space="preserve">The Accountant engaged under this Quotation Estimate will provide the following services to the client, all tailored to the regulatory environment of Belgium Brussels:</w:t>
      </w:r>
    </w:p>
    <w:p>
      <w:pPr>
        <w:numPr>
          <w:ilvl w:val="0"/>
          <w:numId w:val="1001"/>
        </w:numPr>
        <w:pStyle w:val="Compact"/>
      </w:pPr>
      <w:r>
        <w:rPr>
          <w:bCs/>
          <w:b/>
        </w:rPr>
        <w:t xml:space="preserve">Annual Statutory Accounting &amp; Bookkeeping:</w:t>
      </w:r>
      <w:r>
        <w:t xml:space="preserve"> </w:t>
      </w:r>
      <w:r>
        <w:t xml:space="preserve">Full preparation of the general ledger, balance sheet, and profit-and-loss statement in compliance with the Belgian Code of Companies and Associations (Wetboek van Vennootschappen en Verenigingen).</w:t>
      </w:r>
    </w:p>
    <w:p>
      <w:pPr>
        <w:numPr>
          <w:ilvl w:val="0"/>
          <w:numId w:val="1001"/>
        </w:numPr>
        <w:pStyle w:val="Compact"/>
      </w:pPr>
      <w:r>
        <w:rPr>
          <w:bCs/>
          <w:b/>
        </w:rPr>
        <w:t xml:space="preserve">VAT (BTW/TPS) Filing:</w:t>
      </w:r>
      <w:r>
        <w:t xml:space="preserve"> </w:t>
      </w:r>
      <w:r>
        <w:t xml:space="preserve">Monthly or quarterly VAT declarations filed with the Belgian FPS Finance, including intra-community acquisition and supply reporting relevant to cross-border transactions within the Brussels metropolitan area.</w:t>
      </w:r>
    </w:p>
    <w:p>
      <w:pPr>
        <w:numPr>
          <w:ilvl w:val="0"/>
          <w:numId w:val="1001"/>
        </w:numPr>
        <w:pStyle w:val="Compact"/>
      </w:pPr>
      <w:r>
        <w:rPr>
          <w:bCs/>
          <w:b/>
        </w:rPr>
        <w:t xml:space="preserve">Corporate Income Tax (ISOC) Preparation:</w:t>
      </w:r>
      <w:r>
        <w:t xml:space="preserve"> </w:t>
      </w:r>
      <w:r>
        <w:t xml:space="preserve">Annual corporate tax return preparation and submission, incorporating all applicable deductions, credits, and the specific Brussels regional tax surcharges.</w:t>
      </w:r>
    </w:p>
    <w:p>
      <w:pPr>
        <w:numPr>
          <w:ilvl w:val="0"/>
          <w:numId w:val="1001"/>
        </w:numPr>
        <w:pStyle w:val="Compact"/>
      </w:pPr>
      <w:r>
        <w:rPr>
          <w:bCs/>
          <w:b/>
        </w:rPr>
        <w:t xml:space="preserve">Payroll Accounting:</w:t>
      </w:r>
      <w:r>
        <w:t xml:space="preserve"> </w:t>
      </w:r>
      <w:r>
        <w:t xml:space="preserve">Monthly payroll processing for all employees, including the calculation of withholdings, social security contributions (ONSS/RSZ), and the filing of the annual P600/P610 certificates as required by Belgian labour law.</w:t>
      </w:r>
    </w:p>
    <w:p>
      <w:pPr>
        <w:numPr>
          <w:ilvl w:val="0"/>
          <w:numId w:val="1001"/>
        </w:numPr>
        <w:pStyle w:val="Compact"/>
      </w:pPr>
      <w:r>
        <w:rPr>
          <w:bCs/>
          <w:b/>
        </w:rPr>
        <w:t xml:space="preserve">Financial Advisory &amp; Reporting:</w:t>
      </w:r>
      <w:r>
        <w:t xml:space="preserve"> </w:t>
      </w:r>
      <w:r>
        <w:t xml:space="preserve">Quarterly management reports, cash-flow forecasting, and strategic financial advisory sessions conducted at our Brussels office or via secure digital channels.</w:t>
      </w:r>
    </w:p>
    <w:p>
      <w:pPr>
        <w:numPr>
          <w:ilvl w:val="0"/>
          <w:numId w:val="1001"/>
        </w:numPr>
        <w:pStyle w:val="Compact"/>
      </w:pPr>
      <w:r>
        <w:rPr>
          <w:bCs/>
          <w:b/>
        </w:rPr>
        <w:t xml:space="preserve">Compliance &amp; Audit Support:</w:t>
      </w:r>
      <w:r>
        <w:t xml:space="preserve"> </w:t>
      </w:r>
      <w:r>
        <w:t xml:space="preserve">Preparation for statutory audits, coordination with external auditors, and maintenance of the statutory audit file as required for companies exceeding Belgian EU thresholds.</w:t>
      </w:r>
    </w:p>
    <w:p>
      <w:pPr>
        <w:numPr>
          <w:ilvl w:val="0"/>
          <w:numId w:val="1001"/>
        </w:numPr>
        <w:pStyle w:val="Compact"/>
      </w:pPr>
      <w:r>
        <w:rPr>
          <w:bCs/>
          <w:b/>
        </w:rPr>
        <w:t xml:space="preserve">Brussels-Specific Regulatory Compliance:</w:t>
      </w:r>
      <w:r>
        <w:t xml:space="preserve"> </w:t>
      </w:r>
      <w:r>
        <w:t xml:space="preserve">Guidance on Brussels-Capital Region-specific obligations, including the Brussels Energy Performance Certificate (PEB) reporting for commercial properties and local business licensing renewals.</w:t>
      </w:r>
    </w:p>
    <w:bookmarkEnd w:id="22"/>
    <w:bookmarkStart w:id="23" w:name="quotation-estimate-fee-schedule"/>
    <w:p>
      <w:pPr>
        <w:pStyle w:val="Heading2"/>
      </w:pPr>
      <w:r>
        <w:t xml:space="preserve">3. Quotation Estimate — Fee Schedule</w:t>
      </w:r>
    </w:p>
    <w:p>
      <w:pPr>
        <w:pStyle w:val="FirstParagraph"/>
      </w:pPr>
      <w:r>
        <w:t xml:space="preserve">The following Quotation Estimate outlines the estimated fees for the Accountant services described above. All amounts are expressed in Euros (EUR) and are exclusive of applicable Belgian VAT (21% standard rate). This Quotation Estimate is valid for thirty (30) calendar days from the date of issue.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Item</w:t>
            </w:r>
          </w:p>
        </w:tc>
        <w:tc>
          <w:tcPr/>
          <w:p>
            <w:pPr>
              <w:pStyle w:val="Compact"/>
              <w:jc w:val="left"/>
            </w:pPr>
            <w:r>
              <w:t xml:space="preserve">Frequency</w:t>
            </w:r>
          </w:p>
        </w:tc>
        <w:tc>
          <w:tcPr/>
          <w:p>
            <w:pPr>
              <w:pStyle w:val="Compact"/>
              <w:jc w:val="left"/>
            </w:pPr>
            <w:r>
              <w:t xml:space="preserve">Estimated Fee (EUR)</w:t>
            </w:r>
          </w:p>
        </w:tc>
      </w:tr>
      <w:tr>
        <w:tc>
          <w:tcPr/>
          <w:p>
            <w:pPr>
              <w:pStyle w:val="Compact"/>
              <w:jc w:val="left"/>
            </w:pPr>
            <w:r>
              <w:t xml:space="preserve">Annual Statutory Accounting &amp; Bookkeeping</w:t>
            </w:r>
          </w:p>
        </w:tc>
        <w:tc>
          <w:tcPr/>
          <w:p>
            <w:pPr>
              <w:pStyle w:val="Compact"/>
              <w:jc w:val="left"/>
            </w:pPr>
            <w:r>
              <w:t xml:space="preserve">Annual</w:t>
            </w:r>
          </w:p>
        </w:tc>
        <w:tc>
          <w:tcPr/>
          <w:p>
            <w:pPr>
              <w:pStyle w:val="Compact"/>
              <w:jc w:val="left"/>
            </w:pPr>
            <w:r>
              <w:t xml:space="preserve">3,200.00</w:t>
            </w:r>
          </w:p>
        </w:tc>
      </w:tr>
      <w:tr>
        <w:tc>
          <w:tcPr/>
          <w:p>
            <w:pPr>
              <w:pStyle w:val="Compact"/>
              <w:jc w:val="left"/>
            </w:pPr>
            <w:r>
              <w:t xml:space="preserve">VAT (BTW/TPS) Filing &amp; Advisory</w:t>
            </w:r>
          </w:p>
        </w:tc>
        <w:tc>
          <w:tcPr/>
          <w:p>
            <w:pPr>
              <w:pStyle w:val="Compact"/>
              <w:jc w:val="left"/>
            </w:pPr>
            <w:r>
              <w:t xml:space="preserve">Quarterly (x4)</w:t>
            </w:r>
          </w:p>
        </w:tc>
        <w:tc>
          <w:tcPr/>
          <w:p>
            <w:pPr>
              <w:pStyle w:val="Compact"/>
              <w:jc w:val="left"/>
            </w:pPr>
            <w:r>
              <w:t xml:space="preserve">1,600.00</w:t>
            </w:r>
          </w:p>
        </w:tc>
      </w:tr>
      <w:tr>
        <w:tc>
          <w:tcPr/>
          <w:p>
            <w:pPr>
              <w:pStyle w:val="Compact"/>
              <w:jc w:val="left"/>
            </w:pPr>
            <w:r>
              <w:t xml:space="preserve">Corporate Income Tax (ISOC) Return</w:t>
            </w:r>
          </w:p>
        </w:tc>
        <w:tc>
          <w:tcPr/>
          <w:p>
            <w:pPr>
              <w:pStyle w:val="Compact"/>
              <w:jc w:val="left"/>
            </w:pPr>
            <w:r>
              <w:t xml:space="preserve">Annual</w:t>
            </w:r>
          </w:p>
        </w:tc>
        <w:tc>
          <w:tcPr/>
          <w:p>
            <w:pPr>
              <w:pStyle w:val="Compact"/>
              <w:jc w:val="left"/>
            </w:pPr>
            <w:r>
              <w:t xml:space="preserve">2,400.00</w:t>
            </w:r>
          </w:p>
        </w:tc>
      </w:tr>
      <w:tr>
        <w:tc>
          <w:tcPr/>
          <w:p>
            <w:pPr>
              <w:pStyle w:val="Compact"/>
              <w:jc w:val="left"/>
            </w:pPr>
            <w:r>
              <w:t xml:space="preserve">Payroll Accounting (up to 15 employees)</w:t>
            </w:r>
          </w:p>
        </w:tc>
        <w:tc>
          <w:tcPr/>
          <w:p>
            <w:pPr>
              <w:pStyle w:val="Compact"/>
              <w:jc w:val="left"/>
            </w:pPr>
            <w:r>
              <w:t xml:space="preserve">Monthly (x12)</w:t>
            </w:r>
          </w:p>
        </w:tc>
        <w:tc>
          <w:tcPr/>
          <w:p>
            <w:pPr>
              <w:pStyle w:val="Compact"/>
              <w:jc w:val="left"/>
            </w:pPr>
            <w:r>
              <w:t xml:space="preserve">4,800.00</w:t>
            </w:r>
          </w:p>
        </w:tc>
      </w:tr>
      <w:tr>
        <w:tc>
          <w:tcPr/>
          <w:p>
            <w:pPr>
              <w:pStyle w:val="Compact"/>
              <w:jc w:val="left"/>
            </w:pPr>
            <w:r>
              <w:t xml:space="preserve">Financial Advisory &amp; Management Reporting</w:t>
            </w:r>
          </w:p>
        </w:tc>
        <w:tc>
          <w:tcPr/>
          <w:p>
            <w:pPr>
              <w:pStyle w:val="Compact"/>
              <w:jc w:val="left"/>
            </w:pPr>
            <w:r>
              <w:t xml:space="preserve">Quarterly (x4)</w:t>
            </w:r>
          </w:p>
        </w:tc>
        <w:tc>
          <w:tcPr/>
          <w:p>
            <w:pPr>
              <w:pStyle w:val="Compact"/>
              <w:jc w:val="left"/>
            </w:pPr>
            <w:r>
              <w:t xml:space="preserve">2,000.00</w:t>
            </w:r>
          </w:p>
        </w:tc>
      </w:tr>
      <w:tr>
        <w:tc>
          <w:tcPr/>
          <w:p>
            <w:pPr>
              <w:pStyle w:val="Compact"/>
              <w:jc w:val="left"/>
            </w:pPr>
            <w:r>
              <w:t xml:space="preserve">Compliance &amp; Audit Support</w:t>
            </w:r>
          </w:p>
        </w:tc>
        <w:tc>
          <w:tcPr/>
          <w:p>
            <w:pPr>
              <w:pStyle w:val="Compact"/>
              <w:jc w:val="left"/>
            </w:pPr>
            <w:r>
              <w:t xml:space="preserve">Annual</w:t>
            </w:r>
          </w:p>
        </w:tc>
        <w:tc>
          <w:tcPr/>
          <w:p>
            <w:pPr>
              <w:pStyle w:val="Compact"/>
              <w:jc w:val="left"/>
            </w:pPr>
            <w:r>
              <w:t xml:space="preserve">1,500.00</w:t>
            </w:r>
          </w:p>
        </w:tc>
      </w:tr>
      <w:tr>
        <w:tc>
          <w:tcPr/>
          <w:p>
            <w:pPr>
              <w:pStyle w:val="Compact"/>
              <w:jc w:val="left"/>
            </w:pPr>
            <w:r>
              <w:t xml:space="preserve">Brussels-Specific Regulatory Compliance</w:t>
            </w:r>
          </w:p>
        </w:tc>
        <w:tc>
          <w:tcPr/>
          <w:p>
            <w:pPr>
              <w:pStyle w:val="Compact"/>
              <w:jc w:val="left"/>
            </w:pPr>
            <w:r>
              <w:t xml:space="preserve">Annual</w:t>
            </w:r>
          </w:p>
        </w:tc>
        <w:tc>
          <w:tcPr/>
          <w:p>
            <w:pPr>
              <w:pStyle w:val="Compact"/>
              <w:jc w:val="left"/>
            </w:pPr>
            <w:r>
              <w:t xml:space="preserve">900.00</w:t>
            </w:r>
          </w:p>
        </w:tc>
      </w:tr>
      <w:tr>
        <w:tc>
          <w:tcPr>
            <w:gridSpan w:val="2"/>
          </w:tcPr>
          <w:p>
            <w:pPr>
              <w:pStyle w:val="Compact"/>
              <w:jc w:val="left"/>
            </w:pPr>
            <w:r>
              <w:t xml:space="preserve">Subtotal (Excl. VAT)</w:t>
            </w:r>
          </w:p>
        </w:tc>
        <w:tc>
          <w:tcPr/>
          <w:p>
            <w:pPr>
              <w:pStyle w:val="Compact"/>
              <w:jc w:val="left"/>
            </w:pPr>
            <w:r>
              <w:t xml:space="preserve">16,400.00</w:t>
            </w:r>
          </w:p>
        </w:tc>
      </w:tr>
      <w:tr>
        <w:tc>
          <w:tcPr>
            <w:gridSpan w:val="2"/>
          </w:tcPr>
          <w:p>
            <w:pPr>
              <w:pStyle w:val="Compact"/>
              <w:jc w:val="left"/>
            </w:pPr>
            <w:r>
              <w:t xml:space="preserve">Belgian VAT (21%)</w:t>
            </w:r>
          </w:p>
        </w:tc>
        <w:tc>
          <w:tcPr/>
          <w:p>
            <w:pPr>
              <w:pStyle w:val="Compact"/>
              <w:jc w:val="left"/>
            </w:pPr>
            <w:r>
              <w:t xml:space="preserve">3,444.00</w:t>
            </w:r>
          </w:p>
        </w:tc>
      </w:tr>
      <w:tr>
        <w:tc>
          <w:tcPr>
            <w:gridSpan w:val="2"/>
          </w:tcPr>
          <w:p>
            <w:pPr>
              <w:pStyle w:val="Compact"/>
              <w:jc w:val="left"/>
            </w:pPr>
            <w:r>
              <w:t xml:space="preserve">Total Quotation Estimate (Incl. VAT)</w:t>
            </w:r>
          </w:p>
        </w:tc>
        <w:tc>
          <w:tcPr/>
          <w:p>
            <w:pPr>
              <w:pStyle w:val="Compact"/>
              <w:jc w:val="left"/>
            </w:pPr>
            <w:r>
              <w:t xml:space="preserve">19,844.00</w:t>
            </w:r>
          </w:p>
        </w:tc>
      </w:tr>
    </w:tbl>
    <w:bookmarkEnd w:id="23"/>
    <w:bookmarkStart w:id="24" w:name="X98ae5012a9dec956494a9573cf19ec0225e32ea"/>
    <w:p>
      <w:pPr>
        <w:pStyle w:val="Heading2"/>
      </w:pPr>
      <w:r>
        <w:t xml:space="preserve">4. Terms &amp; Conditions of the Quotation Estimate</w:t>
      </w:r>
    </w:p>
    <w:p>
      <w:pPr>
        <w:numPr>
          <w:ilvl w:val="0"/>
          <w:numId w:val="1002"/>
        </w:numPr>
        <w:pStyle w:val="Compact"/>
      </w:pPr>
      <w:r>
        <w:t xml:space="preserve">This Quotation Estimate is a non-binding estimate of the Accountant services and associated costs. Final invoicing will reflect the actual scope of work performed during the engagement period.</w:t>
      </w:r>
    </w:p>
    <w:p>
      <w:pPr>
        <w:numPr>
          <w:ilvl w:val="0"/>
          <w:numId w:val="1002"/>
        </w:numPr>
        <w:pStyle w:val="Compact"/>
      </w:pPr>
      <w:r>
        <w:t xml:space="preserve">The Quotation Estimate is valid for thirty (30) days from the date of issue. After this period, fees may be adjusted to reflect changes in Belgian tax legislation, Brussels regional regulations, or market rate fluctuations.</w:t>
      </w:r>
    </w:p>
    <w:p>
      <w:pPr>
        <w:numPr>
          <w:ilvl w:val="0"/>
          <w:numId w:val="1002"/>
        </w:numPr>
        <w:pStyle w:val="Compact"/>
      </w:pPr>
      <w:r>
        <w:t xml:space="preserve">All Accountant services will be performed in strict compliance with the professional code of ethics established by the Belgian Institute of Chartered Accountants and Auditors (IBBE/IBB) and the specific regulatory requirements applicable in Belgium Brussels.</w:t>
      </w:r>
    </w:p>
    <w:p>
      <w:pPr>
        <w:numPr>
          <w:ilvl w:val="0"/>
          <w:numId w:val="1002"/>
        </w:numPr>
        <w:pStyle w:val="Compact"/>
      </w:pPr>
      <w:r>
        <w:t xml:space="preserve">Payment terms: Invoices issued under this Quotation Estimate are payable within thirty (30) days of the invoice date. Late payments will incur a statutory interest rate as defined by Belgian law.</w:t>
      </w:r>
    </w:p>
    <w:p>
      <w:pPr>
        <w:numPr>
          <w:ilvl w:val="0"/>
          <w:numId w:val="1002"/>
        </w:numPr>
        <w:pStyle w:val="Compact"/>
      </w:pPr>
      <w:r>
        <w:t xml:space="preserve">The client agrees to provide all necessary documentation, access to accounting systems, and timely responses to the Accountant to ensure the accurate and punctual completion of all filings and advisory deliverables.</w:t>
      </w:r>
    </w:p>
    <w:p>
      <w:pPr>
        <w:numPr>
          <w:ilvl w:val="0"/>
          <w:numId w:val="1002"/>
        </w:numPr>
        <w:pStyle w:val="Compact"/>
      </w:pPr>
      <w:r>
        <w:t xml:space="preserve">This Quotation Estimate does not constitute a guarantee of tax outcomes. The Accountant will exercise professional diligence in accordance with Belgian and EU tax law, but final determinations rest with the Belgian FPS Finance and relevant Brussels authorities.</w:t>
      </w:r>
    </w:p>
    <w:p>
      <w:pPr>
        <w:numPr>
          <w:ilvl w:val="0"/>
          <w:numId w:val="1002"/>
        </w:numPr>
        <w:pStyle w:val="Compact"/>
      </w:pPr>
      <w:r>
        <w:t xml:space="preserve">Confidentiality: All financial data, business information, and personal data processed by the Accountant in Belgium Brussels shall be handled in full compliance with the Belgian Data Protection Act and the EU General Data Protection Regulation (GDPR).</w:t>
      </w:r>
    </w:p>
    <w:p>
      <w:pPr>
        <w:numPr>
          <w:ilvl w:val="0"/>
          <w:numId w:val="1002"/>
        </w:numPr>
        <w:pStyle w:val="Compact"/>
      </w:pPr>
      <w:r>
        <w:t xml:space="preserve">Any disputes arising from this Quotation Estimate or the subsequent engagement of the Accountant shall be subject to the exclusive jurisdiction of the Commercial Court of Brussels, Belgium.</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and agrees to the scope of Accountant services and the estimated fees outlined herein for operations in Belgium Brussels. This signature does not constitute a binding contract until a separate Service Agreement is executed by both parties.</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For the Client</w:t>
            </w:r>
          </w:p>
        </w:tc>
        <w:tc>
          <w:tcPr/>
          <w:p>
            <w:pPr>
              <w:pStyle w:val="Compact"/>
              <w:jc w:val="left"/>
            </w:pPr>
            <w:r>
              <w:t xml:space="preserve">For Brussels Accounting Partners SRL</w:t>
            </w:r>
          </w:p>
        </w:tc>
      </w:tr>
      <w:tr>
        <w:tc>
          <w:tcPr/>
          <w:p>
            <w:pPr>
              <w:pStyle w:val="Compact"/>
              <w:jc w:val="left"/>
            </w:pPr>
            <w:r>
              <w:t xml:space="preserve">Name: _________________________</w:t>
            </w:r>
            <w:r>
              <w:br/>
            </w:r>
            <w:r>
              <w:br/>
            </w:r>
            <w:r>
              <w:t xml:space="preserve">Title: _________________________</w:t>
            </w:r>
            <w:r>
              <w:br/>
            </w:r>
            <w:r>
              <w:br/>
            </w:r>
            <w:r>
              <w:t xml:space="preserve">Signature: _________________________</w:t>
            </w:r>
            <w:r>
              <w:br/>
            </w:r>
            <w:r>
              <w:br/>
            </w:r>
            <w:r>
              <w:t xml:space="preserve">Date: _________________________</w:t>
            </w:r>
          </w:p>
        </w:tc>
        <w:tc>
          <w:tcPr/>
          <w:p>
            <w:pPr>
              <w:pStyle w:val="Compact"/>
              <w:jc w:val="left"/>
            </w:pPr>
            <w:r>
              <w:t xml:space="preserve">Name: _________________________</w:t>
            </w:r>
            <w:r>
              <w:br/>
            </w:r>
            <w:r>
              <w:br/>
            </w:r>
            <w:r>
              <w:t xml:space="preserve">Title: _________________________</w:t>
            </w:r>
            <w:r>
              <w:br/>
            </w:r>
            <w:r>
              <w:br/>
            </w:r>
            <w:r>
              <w:t xml:space="preserve">Signature: _________________________</w:t>
            </w:r>
            <w:r>
              <w:br/>
            </w:r>
            <w:r>
              <w:br/>
            </w:r>
            <w:r>
              <w:t xml:space="preserve">Date: _________________________</w:t>
            </w:r>
          </w:p>
        </w:tc>
      </w:tr>
    </w:tbl>
    <w:p>
      <w:pPr>
        <w:pStyle w:val="BodyText"/>
      </w:pPr>
      <w:r>
        <w:rPr>
          <w:bCs/>
          <w:b/>
        </w:rPr>
        <w:t xml:space="preserve">Brussels Accounting Partners SRL</w:t>
      </w:r>
      <w:r>
        <w:t xml:space="preserve"> </w:t>
      </w:r>
      <w:r>
        <w:t xml:space="preserve">— Avenue Louise 245, 1050 Brussels, Belgium</w:t>
      </w:r>
      <w:r>
        <w:br/>
      </w:r>
      <w:r>
        <w:t xml:space="preserve">VAT: BE 0765.432.109 | RLE Brussels: 0765.432.109</w:t>
      </w:r>
      <w:r>
        <w:br/>
      </w:r>
      <w:r>
        <w:t xml:space="preserve">This Quotation Estimate was prepared in Belgium Brussels and is governed by Belgian law.</w:t>
      </w:r>
      <w:r>
        <w:br/>
      </w:r>
      <w:r>
        <w:t xml:space="preserve">© 2025 Brussels Accounting Partners SRL.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Belgium Brussels</dc:title>
  <dc:creator/>
  <dc:language>en</dc:language>
  <cp:keywords/>
  <dcterms:created xsi:type="dcterms:W3CDTF">2026-10-10T09:08:27Z</dcterms:created>
  <dcterms:modified xsi:type="dcterms:W3CDTF">2026-10-10T09:08:27Z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