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Xe7fd46cd68036be3198176ba30ea9e4ea40a831"/>
    <w:p>
      <w:pPr>
        <w:pStyle w:val="Heading1"/>
      </w:pPr>
      <w:r>
        <w:t xml:space="preserve">Beijing Meridian Accounting &amp; Advisory Co., Ltd.</w:t>
      </w:r>
    </w:p>
    <w:p>
      <w:pPr>
        <w:pStyle w:val="FirstParagraph"/>
      </w:pPr>
      <w:r>
        <w:t xml:space="preserve">No. 88 Financial Street, Xicheng District, Beijing 100032, China</w:t>
      </w:r>
    </w:p>
    <w:p>
      <w:pPr>
        <w:pStyle w:val="BodyText"/>
      </w:pPr>
      <w:r>
        <w:t xml:space="preserve">Tel: +86-10-8856-7721 | Email: quotations@beijingmeridian.cn</w:t>
      </w:r>
    </w:p>
    <w:p>
      <w:pPr>
        <w:pStyle w:val="BodyText"/>
      </w:pPr>
      <w:r>
        <w:t xml:space="preserve">Unified Social Credit Code: 91110102MA01KX7T2B</w:t>
      </w:r>
    </w:p>
    <w:bookmarkEnd w:id="20"/>
    <w:p>
      <w:pPr>
        <w:pStyle w:val="BodyText"/>
      </w:pPr>
      <w:r>
        <w:rPr>
          <w:bCs/>
          <w:b/>
        </w:rPr>
        <w:t xml:space="preserve">Quotation Estimate No.:</w:t>
      </w:r>
      <w:r>
        <w:t xml:space="preserve"> </w:t>
      </w:r>
      <w:r>
        <w:t xml:space="preserve">QTE-2025-BJ-04782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Page:</w:t>
      </w:r>
      <w:r>
        <w:t xml:space="preserve"> </w:t>
      </w:r>
      <w:r>
        <w:t xml:space="preserve">1 of 1</w:t>
      </w:r>
    </w:p>
    <w:bookmarkStart w:id="21" w:name="quotation-estimate"/>
    <w:p>
      <w:pPr>
        <w:pStyle w:val="Heading2"/>
      </w:pPr>
      <w:r>
        <w:t xml:space="preserve">QUOTATION ESTIMATE</w:t>
      </w:r>
    </w:p>
    <w:p>
      <w:pPr>
        <w:pStyle w:val="FirstParagraph"/>
      </w:pPr>
      <w:r>
        <w:t xml:space="preserve">Professional Accountant Services — China Beijing Region</w:t>
      </w:r>
    </w:p>
    <w:bookmarkEnd w:id="21"/>
    <w:bookmarkStart w:id="22" w:name="prepared-for-client"/>
    <w:p>
      <w:pPr>
        <w:pStyle w:val="Heading3"/>
      </w:pPr>
      <w:r>
        <w:t xml:space="preserve">Prepared For (Client)</w:t>
      </w:r>
    </w:p>
    <w:p>
      <w:pPr>
        <w:pStyle w:val="FirstParagraph"/>
      </w:pPr>
      <w:r>
        <w:rPr>
          <w:bCs/>
          <w:b/>
        </w:rPr>
        <w:t xml:space="preserve">Company:</w:t>
      </w:r>
      <w:r>
        <w:t xml:space="preserve"> </w:t>
      </w:r>
      <w:r>
        <w:t xml:space="preserve">Horizon Tech Solutions (Beijing) Co., Ltd.</w:t>
      </w:r>
    </w:p>
    <w:p>
      <w:pPr>
        <w:pStyle w:val="BodyText"/>
      </w:pPr>
      <w:r>
        <w:rPr>
          <w:bCs/>
          <w:b/>
        </w:rPr>
        <w:t xml:space="preserve">Address:</w:t>
      </w:r>
      <w:r>
        <w:t xml:space="preserve"> </w:t>
      </w:r>
      <w:r>
        <w:t xml:space="preserve">Tower B, 200 Fuxing Road, Haidian District, Beijing 100089, China</w:t>
      </w:r>
    </w:p>
    <w:p>
      <w:pPr>
        <w:pStyle w:val="BodyText"/>
      </w:pPr>
      <w:r>
        <w:rPr>
          <w:bCs/>
          <w:b/>
        </w:rPr>
        <w:t xml:space="preserve">Contact Person:</w:t>
      </w:r>
      <w:r>
        <w:t xml:space="preserve"> </w:t>
      </w:r>
      <w:r>
        <w:t xml:space="preserve">Ms. Liang Wei, Finance Director</w:t>
      </w:r>
    </w:p>
    <w:p>
      <w:pPr>
        <w:pStyle w:val="BodyText"/>
      </w:pPr>
      <w:r>
        <w:rPr>
          <w:bCs/>
          <w:b/>
        </w:rPr>
        <w:t xml:space="preserve">Email:</w:t>
      </w:r>
      <w:r>
        <w:t xml:space="preserve"> </w:t>
      </w:r>
      <w:r>
        <w:t xml:space="preserve">w.liang@horizontech-beijing.com</w:t>
      </w:r>
    </w:p>
    <w:bookmarkEnd w:id="22"/>
    <w:bookmarkStart w:id="23" w:name="prepared-by-provider"/>
    <w:p>
      <w:pPr>
        <w:pStyle w:val="Heading3"/>
      </w:pPr>
      <w:r>
        <w:t xml:space="preserve">Prepared By (Provider)</w:t>
      </w:r>
    </w:p>
    <w:p>
      <w:pPr>
        <w:pStyle w:val="FirstParagraph"/>
      </w:pPr>
      <w:r>
        <w:rPr>
          <w:bCs/>
          <w:b/>
        </w:rPr>
        <w:t xml:space="preserve">Company:</w:t>
      </w:r>
      <w:r>
        <w:t xml:space="preserve"> </w:t>
      </w:r>
      <w:r>
        <w:t xml:space="preserve">Beijing Meridian Accounting &amp; Advisory Co., Ltd.</w:t>
      </w:r>
    </w:p>
    <w:p>
      <w:pPr>
        <w:pStyle w:val="BodyText"/>
      </w:pPr>
      <w:r>
        <w:rPr>
          <w:bCs/>
          <w:b/>
        </w:rPr>
        <w:t xml:space="preserve">Lead Accountant:</w:t>
      </w:r>
      <w:r>
        <w:t xml:space="preserve"> </w:t>
      </w:r>
      <w:r>
        <w:t xml:space="preserve">Mr. Zhang Pengfei, CPA (China), CMA</w:t>
      </w:r>
    </w:p>
    <w:p>
      <w:pPr>
        <w:pStyle w:val="BodyText"/>
      </w:pPr>
      <w:r>
        <w:rPr>
          <w:bCs/>
          <w:b/>
        </w:rPr>
        <w:t xml:space="preserve">License No.:</w:t>
      </w:r>
      <w:r>
        <w:t xml:space="preserve"> </w:t>
      </w:r>
      <w:r>
        <w:t xml:space="preserve">CPA-2019-BJ-03412</w:t>
      </w:r>
    </w:p>
    <w:p>
      <w:pPr>
        <w:pStyle w:val="BodyText"/>
      </w:pPr>
      <w:r>
        <w:rPr>
          <w:bCs/>
          <w:b/>
        </w:rPr>
        <w:t xml:space="preserve">Supervisory Body:</w:t>
      </w:r>
      <w:r>
        <w:t xml:space="preserve"> </w:t>
      </w:r>
      <w:r>
        <w:t xml:space="preserve">Beijing Institute of Certified Public Accountants</w:t>
      </w:r>
    </w:p>
    <w:bookmarkEnd w:id="23"/>
    <w:bookmarkStart w:id="24" w:name="X0c7581080508d578c26b6d8dfd726c7e3ca5cc9"/>
    <w:p>
      <w:pPr>
        <w:pStyle w:val="Heading3"/>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Beijing Meridian Accounting &amp; Advisory Co., Ltd. to formally propose the engagement of a qualified</w:t>
      </w:r>
      <w:r>
        <w:t xml:space="preserve"> </w:t>
      </w:r>
      <w:r>
        <w:t xml:space="preserve">Accountant</w:t>
      </w:r>
      <w:r>
        <w:t xml:space="preserve"> </w:t>
      </w:r>
      <w:r>
        <w:t xml:space="preserve">to deliver comprehensive financial, tax, and compliance services to the client within the jurisdiction of</w:t>
      </w:r>
      <w:r>
        <w:t xml:space="preserve"> </w:t>
      </w:r>
      <w:r>
        <w:t xml:space="preserve">China Beijing</w:t>
      </w:r>
      <w:r>
        <w:t xml:space="preserve">. The scope of work outlined herein has been tailored to meet the specific operational requirements of a foreign-invested enterprise operating in the capital region, ensuring full alignment with the regulations administered by the State Taxation Administration (STA), the Beijing Municipal Tax Bureau, and the National Audit Office of China.</w:t>
      </w:r>
    </w:p>
    <w:p>
      <w:pPr>
        <w:pStyle w:val="BodyText"/>
      </w:pPr>
      <w:r>
        <w:t xml:space="preserve">The</w:t>
      </w:r>
      <w:r>
        <w:t xml:space="preserve"> </w:t>
      </w:r>
      <w:r>
        <w:t xml:space="preserve">Accountant</w:t>
      </w:r>
      <w:r>
        <w:t xml:space="preserve"> </w:t>
      </w:r>
      <w:r>
        <w:t xml:space="preserve">assigned under this</w:t>
      </w:r>
      <w:r>
        <w:t xml:space="preserve"> </w:t>
      </w:r>
      <w:r>
        <w:t xml:space="preserve">Quotation Estimate</w:t>
      </w:r>
      <w:r>
        <w:t xml:space="preserve"> </w:t>
      </w:r>
      <w:r>
        <w:t xml:space="preserve">will serve as the primary financial liaison for the client, managing all bookkeeping, statutory reporting, tax filings, and advisory engagements specific to the</w:t>
      </w:r>
      <w:r>
        <w:t xml:space="preserve"> </w:t>
      </w:r>
      <w:r>
        <w:t xml:space="preserve">China Beijing</w:t>
      </w:r>
      <w:r>
        <w:t xml:space="preserve"> </w:t>
      </w:r>
      <w:r>
        <w:t xml:space="preserve">regulatory environment. All services will be performed in accordance with the Chinese Accounting Standards (CAS) and International Financial Reporting Standards (IFRS) where applicable to the client's parent-entity reporting requirements.</w:t>
      </w:r>
    </w:p>
    <w:bookmarkEnd w:id="24"/>
    <w:bookmarkStart w:id="25" w:name="detailed-service-line-items-and-pricing"/>
    <w:p>
      <w:pPr>
        <w:pStyle w:val="Heading3"/>
      </w:pPr>
      <w:r>
        <w:t xml:space="preserve">2. Detailed Service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Accountant Service</w:t>
            </w:r>
          </w:p>
        </w:tc>
        <w:tc>
          <w:tcPr/>
          <w:p>
            <w:pPr>
              <w:pStyle w:val="Compact"/>
              <w:jc w:val="left"/>
            </w:pPr>
            <w:r>
              <w:t xml:space="preserve">Frequency</w:t>
            </w:r>
          </w:p>
        </w:tc>
        <w:tc>
          <w:tcPr/>
          <w:p>
            <w:pPr>
              <w:pStyle w:val="Compact"/>
              <w:jc w:val="left"/>
            </w:pPr>
            <w:r>
              <w:t xml:space="preserve">Unit Price (CNY)</w:t>
            </w:r>
          </w:p>
        </w:tc>
        <w:tc>
          <w:tcPr/>
          <w:p>
            <w:pPr>
              <w:pStyle w:val="Compact"/>
              <w:jc w:val="left"/>
            </w:pPr>
            <w:r>
              <w:t xml:space="preserve">Annual Total (CNY)</w:t>
            </w:r>
          </w:p>
        </w:tc>
      </w:tr>
      <w:tr>
        <w:tc>
          <w:tcPr/>
          <w:p>
            <w:pPr>
              <w:pStyle w:val="Compact"/>
              <w:jc w:val="left"/>
            </w:pPr>
            <w:r>
              <w:t xml:space="preserve">01</w:t>
            </w:r>
          </w:p>
        </w:tc>
        <w:tc>
          <w:tcPr/>
          <w:p>
            <w:pPr>
              <w:pStyle w:val="Compact"/>
              <w:jc w:val="left"/>
            </w:pPr>
            <w:r>
              <w:t xml:space="preserve">Monthly bookkeeping, journal entries, and general ledger maintenance for the Beijing entity</w:t>
            </w:r>
          </w:p>
        </w:tc>
        <w:tc>
          <w:tcPr/>
          <w:p>
            <w:pPr>
              <w:pStyle w:val="Compact"/>
              <w:jc w:val="left"/>
            </w:pPr>
            <w:r>
              <w:t xml:space="preserve">Monthly (12)</w:t>
            </w:r>
          </w:p>
        </w:tc>
        <w:tc>
          <w:tcPr/>
          <w:p>
            <w:pPr>
              <w:pStyle w:val="Compact"/>
              <w:jc w:val="left"/>
            </w:pPr>
            <w:r>
              <w:t xml:space="preserve">4,500</w:t>
            </w:r>
          </w:p>
        </w:tc>
        <w:tc>
          <w:tcPr/>
          <w:p>
            <w:pPr>
              <w:pStyle w:val="Compact"/>
              <w:jc w:val="left"/>
            </w:pPr>
            <w:r>
              <w:t xml:space="preserve">54,000</w:t>
            </w:r>
          </w:p>
        </w:tc>
      </w:tr>
      <w:tr>
        <w:tc>
          <w:tcPr/>
          <w:p>
            <w:pPr>
              <w:pStyle w:val="Compact"/>
              <w:jc w:val="left"/>
            </w:pPr>
            <w:r>
              <w:t xml:space="preserve">02</w:t>
            </w:r>
          </w:p>
        </w:tc>
        <w:tc>
          <w:tcPr/>
          <w:p>
            <w:pPr>
              <w:pStyle w:val="Compact"/>
              <w:jc w:val="left"/>
            </w:pPr>
            <w:r>
              <w:t xml:space="preserve">Preparation and filing of monthly VAT, corporate income tax, and individual income tax returns with the Beijing Municipal Tax Bureau</w:t>
            </w:r>
          </w:p>
        </w:tc>
        <w:tc>
          <w:tcPr/>
          <w:p>
            <w:pPr>
              <w:pStyle w:val="Compact"/>
              <w:jc w:val="left"/>
            </w:pPr>
            <w:r>
              <w:t xml:space="preserve">Monthly (12)</w:t>
            </w:r>
          </w:p>
        </w:tc>
        <w:tc>
          <w:tcPr/>
          <w:p>
            <w:pPr>
              <w:pStyle w:val="Compact"/>
              <w:jc w:val="left"/>
            </w:pPr>
            <w:r>
              <w:t xml:space="preserve">3,200</w:t>
            </w:r>
          </w:p>
        </w:tc>
        <w:tc>
          <w:tcPr/>
          <w:p>
            <w:pPr>
              <w:pStyle w:val="Compact"/>
              <w:jc w:val="left"/>
            </w:pPr>
            <w:r>
              <w:t xml:space="preserve">38,400</w:t>
            </w:r>
          </w:p>
        </w:tc>
      </w:tr>
      <w:tr>
        <w:tc>
          <w:tcPr/>
          <w:p>
            <w:pPr>
              <w:pStyle w:val="Compact"/>
              <w:jc w:val="left"/>
            </w:pPr>
            <w:r>
              <w:t xml:space="preserve">03</w:t>
            </w:r>
          </w:p>
        </w:tc>
        <w:tc>
          <w:tcPr/>
          <w:p>
            <w:pPr>
              <w:pStyle w:val="Compact"/>
              <w:jc w:val="left"/>
            </w:pPr>
            <w:r>
              <w:t xml:space="preserve">Annual statutory financial audit and preparation of the audited annual report for submission to the Beijing Administration for Market Regulation (AMR)</w:t>
            </w:r>
          </w:p>
        </w:tc>
        <w:tc>
          <w:tcPr/>
          <w:p>
            <w:pPr>
              <w:pStyle w:val="Compact"/>
              <w:jc w:val="left"/>
            </w:pPr>
            <w:r>
              <w:t xml:space="preserve">Annually (1)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04</w:t>
            </w:r>
          </w:p>
        </w:tc>
        <w:tc>
          <w:tcPr/>
          <w:p>
            <w:pPr>
              <w:pStyle w:val="Compact"/>
              <w:jc w:val="left"/>
            </w:pPr>
            <w:r>
              <w:t xml:space="preserve">Transfer pricing documentation and intercompany transaction review for cross-border operations linked to the China Beijing headquarters</w:t>
            </w:r>
          </w:p>
        </w:tc>
        <w:tc>
          <w:tcPr/>
          <w:p>
            <w:pPr>
              <w:pStyle w:val="Compact"/>
              <w:jc w:val="left"/>
            </w:pPr>
            <w:r>
              <w:t xml:space="preserve">Annually (1)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05</w:t>
            </w:r>
          </w:p>
        </w:tc>
        <w:tc>
          <w:tcPr/>
          <w:p>
            <w:pPr>
              <w:pStyle w:val="Compact"/>
              <w:jc w:val="left"/>
            </w:pPr>
            <w:r>
              <w:t xml:space="preserve">Payroll processing, social insurance, and housing fund compliance for up to 50 employees registered in Beijing</w:t>
            </w:r>
          </w:p>
        </w:tc>
        <w:tc>
          <w:tcPr/>
          <w:p>
            <w:pPr>
              <w:pStyle w:val="Compact"/>
              <w:jc w:val="left"/>
            </w:pPr>
            <w:r>
              <w:t xml:space="preserve">Monthly (12)</w:t>
            </w:r>
          </w:p>
        </w:tc>
        <w:tc>
          <w:tcPr/>
          <w:p>
            <w:pPr>
              <w:pStyle w:val="Compact"/>
              <w:jc w:val="left"/>
            </w:pPr>
            <w:r>
              <w:t xml:space="preserve">5,800</w:t>
            </w:r>
          </w:p>
        </w:tc>
        <w:tc>
          <w:tcPr/>
          <w:p>
            <w:pPr>
              <w:pStyle w:val="Compact"/>
              <w:jc w:val="left"/>
            </w:pPr>
            <w:r>
              <w:t xml:space="preserve">69,600</w:t>
            </w:r>
          </w:p>
        </w:tc>
      </w:tr>
      <w:tr>
        <w:tc>
          <w:tcPr/>
          <w:p>
            <w:pPr>
              <w:pStyle w:val="Compact"/>
              <w:jc w:val="left"/>
            </w:pPr>
            <w:r>
              <w:t xml:space="preserve">06</w:t>
            </w:r>
          </w:p>
        </w:tc>
        <w:tc>
          <w:tcPr/>
          <w:p>
            <w:pPr>
              <w:pStyle w:val="Compact"/>
              <w:jc w:val="left"/>
            </w:pPr>
            <w:r>
              <w:t xml:space="preserve">Ad-hoc tax advisory, regulatory change monitoring, and quarterly financial performance reviews specific to China Beijing operations</w:t>
            </w:r>
          </w:p>
        </w:tc>
        <w:tc>
          <w:tcPr/>
          <w:p>
            <w:pPr>
              <w:pStyle w:val="Compact"/>
              <w:jc w:val="left"/>
            </w:pPr>
            <w:r>
              <w:t xml:space="preserve">Quarterly (4)</w:t>
            </w:r>
          </w:p>
        </w:tc>
        <w:tc>
          <w:tcPr/>
          <w:p>
            <w:pPr>
              <w:pStyle w:val="Compact"/>
              <w:jc w:val="left"/>
            </w:pPr>
            <w:r>
              <w:t xml:space="preserve">6,500</w:t>
            </w:r>
          </w:p>
        </w:tc>
        <w:tc>
          <w:tcPr/>
          <w:p>
            <w:pPr>
              <w:pStyle w:val="Compact"/>
              <w:jc w:val="left"/>
            </w:pPr>
            <w:r>
              <w:t xml:space="preserve">26,000</w:t>
            </w:r>
          </w:p>
        </w:tc>
      </w:tr>
      <w:tr>
        <w:tc>
          <w:tcPr/>
          <w:p>
            <w:pPr>
              <w:pStyle w:val="Compact"/>
              <w:jc w:val="left"/>
            </w:pPr>
            <w:r>
              <w:t xml:space="preserve">07</w:t>
            </w:r>
          </w:p>
        </w:tc>
        <w:tc>
          <w:tcPr/>
          <w:p>
            <w:pPr>
              <w:pStyle w:val="Compact"/>
              <w:jc w:val="left"/>
            </w:pPr>
            <w:r>
              <w:t xml:space="preserve">Foreign exchange compliance, SAFE reporting, and cross-border remittance documentation support</w:t>
            </w:r>
          </w:p>
        </w:tc>
        <w:tc>
          <w:tcPr/>
          <w:p>
            <w:pPr>
              <w:pStyle w:val="Compact"/>
              <w:jc w:val="left"/>
            </w:pPr>
            <w:r>
              <w:t xml:space="preserve">As required</w:t>
            </w:r>
          </w:p>
        </w:tc>
        <w:tc>
          <w:tcPr/>
          <w:p>
            <w:pPr>
              <w:pStyle w:val="Compact"/>
              <w:jc w:val="left"/>
            </w:pPr>
            <w:r>
              <w:t xml:space="preserve">2,000 / instance</w:t>
            </w:r>
          </w:p>
        </w:tc>
        <w:tc>
          <w:tcPr/>
          <w:p>
            <w:pPr>
              <w:pStyle w:val="Compact"/>
              <w:jc w:val="left"/>
            </w:pPr>
            <w:r>
              <w:t xml:space="preserve">12,000 (est.)</w:t>
            </w:r>
          </w:p>
        </w:tc>
      </w:tr>
      <w:tr>
        <w:tc>
          <w:tcPr>
            <w:gridSpan w:val="4"/>
          </w:tcPr>
          <w:p>
            <w:pPr>
              <w:pStyle w:val="Compact"/>
              <w:jc w:val="right"/>
            </w:pPr>
            <w:r>
              <w:t xml:space="preserve">TOTAL ANNUAL ESTIMATED FEE (Excl. VAT)</w:t>
            </w:r>
          </w:p>
        </w:tc>
        <w:tc>
          <w:tcPr/>
          <w:p>
            <w:pPr>
              <w:pStyle w:val="Compact"/>
              <w:jc w:val="left"/>
            </w:pPr>
            <w:r>
              <w:t xml:space="preserve">263,000</w:t>
            </w:r>
          </w:p>
        </w:tc>
      </w:tr>
      <w:tr>
        <w:tc>
          <w:tcPr>
            <w:gridSpan w:val="4"/>
          </w:tcPr>
          <w:p>
            <w:pPr>
              <w:pStyle w:val="Compact"/>
              <w:jc w:val="right"/>
            </w:pPr>
            <w:r>
              <w:t xml:space="preserve">VAT (6% Professional Services)</w:t>
            </w:r>
          </w:p>
        </w:tc>
        <w:tc>
          <w:tcPr/>
          <w:p>
            <w:pPr>
              <w:pStyle w:val="Compact"/>
              <w:jc w:val="left"/>
            </w:pPr>
            <w:r>
              <w:t xml:space="preserve">15,780</w:t>
            </w:r>
          </w:p>
        </w:tc>
      </w:tr>
      <w:tr>
        <w:tc>
          <w:tcPr>
            <w:gridSpan w:val="4"/>
          </w:tcPr>
          <w:p>
            <w:pPr>
              <w:pStyle w:val="Compact"/>
              <w:jc w:val="right"/>
            </w:pPr>
            <w:r>
              <w:t xml:space="preserve">GRAND TOTAL (Incl. VAT)</w:t>
            </w:r>
          </w:p>
        </w:tc>
        <w:tc>
          <w:tcPr/>
          <w:p>
            <w:pPr>
              <w:pStyle w:val="Compact"/>
              <w:jc w:val="left"/>
            </w:pPr>
            <w:r>
              <w:t xml:space="preserve">278,780</w:t>
            </w:r>
          </w:p>
        </w:tc>
      </w:tr>
    </w:tbl>
    <w:bookmarkEnd w:id="25"/>
    <w:bookmarkStart w:id="26" w:name="X84219548950111aba770d88d6d40171a64ff8ef"/>
    <w:p>
      <w:pPr>
        <w:pStyle w:val="Heading3"/>
      </w:pPr>
      <w:r>
        <w:t xml:space="preserve">3. Terms and Conditions Governing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Upon expiry, pricing and availability of the designated</w:t>
      </w:r>
      <w:r>
        <w:t xml:space="preserve"> </w:t>
      </w:r>
      <w:r>
        <w:t xml:space="preserve">Accountant</w:t>
      </w:r>
      <w:r>
        <w:t xml:space="preserve"> </w:t>
      </w:r>
      <w:r>
        <w:t xml:space="preserve">are subject to reconfirmation.</w:t>
      </w:r>
    </w:p>
    <w:p>
      <w:pPr>
        <w:numPr>
          <w:ilvl w:val="0"/>
          <w:numId w:val="1001"/>
        </w:numPr>
        <w:pStyle w:val="Compact"/>
      </w:pPr>
      <w:r>
        <w:t xml:space="preserve">All fees quoted are denominated in Chinese Yuan (CNY) and are payable within thirty (30) days of invoice issuance via bank transfer to the provider's account held with ICBC Beijing Financial Street Branch.</w:t>
      </w:r>
    </w:p>
    <w:p>
      <w:pPr>
        <w:numPr>
          <w:ilvl w:val="0"/>
          <w:numId w:val="1001"/>
        </w:numPr>
        <w:pStyle w:val="Compact"/>
      </w:pPr>
      <w:r>
        <w:t xml:space="preserve">The</w:t>
      </w:r>
      <w:r>
        <w:t xml:space="preserve"> </w:t>
      </w:r>
      <w:r>
        <w:t xml:space="preserve">Accountant</w:t>
      </w:r>
      <w:r>
        <w:t xml:space="preserve"> </w:t>
      </w:r>
      <w:r>
        <w:t xml:space="preserve">engaged under this agreement shall maintain professional indemnity insurance with a minimum coverage of CNY 5,000,000, as required by the Beijing Institute of Certified Public Accountants.</w:t>
      </w:r>
    </w:p>
    <w:p>
      <w:pPr>
        <w:numPr>
          <w:ilvl w:val="0"/>
          <w:numId w:val="1001"/>
        </w:numPr>
        <w:pStyle w:val="Compact"/>
      </w:pPr>
      <w:r>
        <w:t xml:space="preserve">Confidentiality: All financial data, trade secrets, and proprietary information of the client obtained during the course of services in</w:t>
      </w:r>
      <w:r>
        <w:t xml:space="preserve"> </w:t>
      </w:r>
      <w:r>
        <w:t xml:space="preserve">China Beijing</w:t>
      </w:r>
      <w:r>
        <w:t xml:space="preserve"> </w:t>
      </w:r>
      <w:r>
        <w:t xml:space="preserve">shall be treated as strictly confidential and shall not be disclosed to any third party without written consent, in compliance with the Personal Information Protection Law (PIPL) of the People's Republic of China.</w:t>
      </w:r>
    </w:p>
    <w:p>
      <w:pPr>
        <w:numPr>
          <w:ilvl w:val="0"/>
          <w:numId w:val="1001"/>
        </w:numPr>
        <w:pStyle w:val="Compact"/>
      </w:pPr>
      <w:r>
        <w:t xml:space="preserve">Any additional services beyond the scope defined in this</w:t>
      </w:r>
      <w:r>
        <w:t xml:space="preserve"> </w:t>
      </w:r>
      <w:r>
        <w:t xml:space="preserve">Quotation Estimate</w:t>
      </w:r>
      <w:r>
        <w:t xml:space="preserve"> </w:t>
      </w:r>
      <w:r>
        <w:t xml:space="preserve">shall be subject to a separate written amendment and additional fee schedule agreed upon by both parties.</w:t>
      </w:r>
    </w:p>
    <w:p>
      <w:pPr>
        <w:numPr>
          <w:ilvl w:val="0"/>
          <w:numId w:val="1001"/>
        </w:numPr>
        <w:pStyle w:val="Compact"/>
      </w:pPr>
      <w:r>
        <w:t xml:space="preserve">Governing law: This engagement shall be governed by and construed in accordance with the laws of the People's Republic of China. Any disputes shall be resolved through arbitration at the Beijing Arbitration Commission (BAC) in accordance with its then-current rules.</w:t>
      </w:r>
    </w:p>
    <w:p>
      <w:pPr>
        <w:numPr>
          <w:ilvl w:val="0"/>
          <w:numId w:val="1001"/>
        </w:numPr>
        <w:pStyle w:val="Compact"/>
      </w:pPr>
      <w:r>
        <w:t xml:space="preserve">The provider reserves the right to reassign the</w:t>
      </w:r>
      <w:r>
        <w:t xml:space="preserve"> </w:t>
      </w:r>
      <w:r>
        <w:t xml:space="preserve">Accountant</w:t>
      </w:r>
      <w:r>
        <w:t xml:space="preserve"> </w:t>
      </w:r>
      <w:r>
        <w:t xml:space="preserve">to a qualified successor of equivalent or higher credentials should the primary accountant become unavailable, provided the client receives no less than fourteen (14) days' prior written notice.</w:t>
      </w:r>
    </w:p>
    <w:bookmarkEnd w:id="26"/>
    <w:bookmarkStart w:id="27" w:name="acceptance-and-authorization"/>
    <w:p>
      <w:pPr>
        <w:pStyle w:val="Heading3"/>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Beijing Meridian Accounting &amp; Advisory Co., Ltd. to commence the engagement of the</w:t>
      </w:r>
      <w:r>
        <w:t xml:space="preserve"> </w:t>
      </w:r>
      <w:r>
        <w:t xml:space="preserve">Accountant</w:t>
      </w:r>
      <w:r>
        <w:t xml:space="preserve"> </w:t>
      </w:r>
      <w:r>
        <w:t xml:space="preserve">for the services described herein, effective from 1 August 2025, for the</w:t>
      </w:r>
      <w:r>
        <w:t xml:space="preserve"> </w:t>
      </w:r>
      <w:r>
        <w:t xml:space="preserve">China Beijing</w:t>
      </w:r>
      <w:r>
        <w:t xml:space="preserve"> </w:t>
      </w:r>
      <w:r>
        <w:t xml:space="preserve">operating entity.</w:t>
      </w:r>
    </w:p>
    <w:p>
      <w:pPr>
        <w:pStyle w:val="BodyText"/>
      </w:pPr>
      <w:r>
        <w:rPr>
          <w:bCs/>
          <w:b/>
        </w:rPr>
        <w:t xml:space="preserve">For and on behalf of the Client:</w:t>
      </w:r>
    </w:p>
    <w:p>
      <w:pPr>
        <w:pStyle w:val="BodyText"/>
      </w:pPr>
      <w:r>
        <w:t xml:space="preserve">Name: ___________________________</w:t>
      </w:r>
    </w:p>
    <w:p>
      <w:pPr>
        <w:pStyle w:val="BodyText"/>
      </w:pPr>
      <w:r>
        <w:t xml:space="preserve">Title: Finance Director</w:t>
      </w:r>
    </w:p>
    <w:p>
      <w:pPr>
        <w:pStyle w:val="BodyText"/>
      </w:pPr>
      <w:r>
        <w:t xml:space="preserve">Signature: _________________________</w:t>
      </w:r>
    </w:p>
    <w:p>
      <w:pPr>
        <w:pStyle w:val="BodyText"/>
      </w:pPr>
      <w:r>
        <w:t xml:space="preserve">Date: ___________________________</w:t>
      </w:r>
    </w:p>
    <w:p>
      <w:pPr>
        <w:pStyle w:val="BodyText"/>
      </w:pPr>
      <w:r>
        <w:t xml:space="preserve">Company Seal: (Affix)</w:t>
      </w:r>
    </w:p>
    <w:p>
      <w:pPr>
        <w:pStyle w:val="BodyText"/>
      </w:pPr>
      <w:r>
        <w:rPr>
          <w:bCs/>
          <w:b/>
        </w:rPr>
        <w:t xml:space="preserve">For and on behalf of the Provider:</w:t>
      </w:r>
    </w:p>
    <w:p>
      <w:pPr>
        <w:pStyle w:val="BodyText"/>
      </w:pPr>
      <w:r>
        <w:t xml:space="preserve">Name: Zhang Pengfei, CPA</w:t>
      </w:r>
    </w:p>
    <w:p>
      <w:pPr>
        <w:pStyle w:val="BodyText"/>
      </w:pPr>
      <w:r>
        <w:t xml:space="preserve">Title: Lead Accountant / Engagement Partner</w:t>
      </w:r>
    </w:p>
    <w:p>
      <w:pPr>
        <w:pStyle w:val="BodyText"/>
      </w:pPr>
      <w:r>
        <w:t xml:space="preserve">Signature: _________________________</w:t>
      </w:r>
    </w:p>
    <w:p>
      <w:pPr>
        <w:pStyle w:val="BodyText"/>
      </w:pPr>
      <w:r>
        <w:t xml:space="preserve">Date: ___________________________</w:t>
      </w:r>
    </w:p>
    <w:p>
      <w:pPr>
        <w:pStyle w:val="BodyText"/>
      </w:pPr>
      <w:r>
        <w:t xml:space="preserve">Company Seal: (Affix)</w:t>
      </w:r>
    </w:p>
    <w:p>
      <w:pPr>
        <w:pStyle w:val="BodyText"/>
      </w:pPr>
      <w:r>
        <w:t xml:space="preserve">Beijing Meridian Accounting &amp; Advisory Co., Ltd. — Quotation Estimate QTE-2025-BJ-04782 — Accountant Services, China Beijing</w:t>
      </w:r>
    </w:p>
    <w:p>
      <w:pPr>
        <w:pStyle w:val="BodyText"/>
      </w:pPr>
      <w:r>
        <w:t xml:space="preserve">This document is generated electronically and is valid without a physical signature when accompanied by the company chop (seal). For inquiries, please contact quotations@beijingmeridian.cn or +86-10-8856-7721.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China Beijing</dc:title>
  <dc:creator/>
  <dc:language>en</dc:language>
  <cp:keywords/>
  <dcterms:created xsi:type="dcterms:W3CDTF">2026-10-10T06:58:11Z</dcterms:created>
  <dcterms:modified xsi:type="dcterms:W3CDTF">2026-10-10T06:58:11Z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