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Professional Accountant Services</w:t>
      </w:r>
    </w:p>
    <w:p>
      <w:pPr>
        <w:pStyle w:val="BodyText"/>
      </w:pPr>
      <w:r>
        <w:t xml:space="preserve">Guangzhou, Guangdong Province, People's Republic of China</w:t>
      </w:r>
    </w:p>
    <w:p>
      <w:pPr>
        <w:pStyle w:val="BodyText"/>
      </w:pPr>
      <w:r>
        <w:t xml:space="preserve">Ref: QE-GZ-2025-04782 | Date: 15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Guangzhou Professional Accounting &amp; Advisory Firm Co., Ltd.</w:t>
            </w:r>
            <w:r>
              <w:br/>
            </w:r>
            <w:r>
              <w:t xml:space="preserve">Tower B, Tianhe District, Guangzhou 510620, China</w:t>
            </w:r>
            <w:r>
              <w:br/>
            </w:r>
            <w:r>
              <w:t xml:space="preserve">Tel: +86-20-8888-6721 | Email: quotes@gz-accountant.cn</w:t>
            </w:r>
          </w:p>
        </w:tc>
      </w:tr>
      <w:tr>
        <w:tc>
          <w:tcPr/>
          <w:p>
            <w:pPr>
              <w:pStyle w:val="Compact"/>
              <w:jc w:val="left"/>
            </w:pPr>
            <w:r>
              <w:t xml:space="preserve">Prepared For</w:t>
            </w:r>
          </w:p>
        </w:tc>
        <w:tc>
          <w:tcPr/>
          <w:p>
            <w:pPr>
              <w:pStyle w:val="Compact"/>
              <w:jc w:val="left"/>
            </w:pPr>
            <w:r>
              <w:t xml:space="preserve">Client Name / Company Name</w:t>
            </w:r>
            <w:r>
              <w:br/>
            </w:r>
            <w:r>
              <w:t xml:space="preserve">Address in Guangzhou, China</w:t>
            </w:r>
            <w:r>
              <w:br/>
            </w:r>
            <w:r>
              <w:t xml:space="preserve">Contact: [Client Contact Details]</w:t>
            </w:r>
          </w:p>
        </w:tc>
      </w:tr>
      <w:tr>
        <w:tc>
          <w:tcPr/>
          <w:p>
            <w:pPr>
              <w:pStyle w:val="Compact"/>
              <w:jc w:val="left"/>
            </w:pPr>
            <w:r>
              <w:t xml:space="preserve">Quotation Validity</w:t>
            </w:r>
          </w:p>
        </w:tc>
        <w:tc>
          <w:tcPr/>
          <w:p>
            <w:pPr>
              <w:pStyle w:val="Compact"/>
              <w:jc w:val="left"/>
            </w:pPr>
            <w:r>
              <w:t xml:space="preserve">This Quotation Estimate is valid for a period of thirty (30) calendar days from the date of issue. After this period, pricing and availability of the Accountant services may be subject to revision.</w:t>
            </w:r>
          </w:p>
        </w:tc>
      </w:tr>
      <w:tr>
        <w:tc>
          <w:tcPr/>
          <w:p>
            <w:pPr>
              <w:pStyle w:val="Compact"/>
              <w:jc w:val="left"/>
            </w:pPr>
            <w:r>
              <w:t xml:space="preserve">Currency</w:t>
            </w:r>
          </w:p>
        </w:tc>
        <w:tc>
          <w:tcPr/>
          <w:p>
            <w:pPr>
              <w:pStyle w:val="Compact"/>
              <w:jc w:val="left"/>
            </w:pPr>
            <w:r>
              <w:t xml:space="preserve">Chinese Yuan (CNY / RMB) – All figures are inclusive of applicable Value Added Tax (VAT) at 6% unless otherwise stated.</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specifically to outline the professional</w:t>
      </w:r>
      <w:r>
        <w:t xml:space="preserve"> </w:t>
      </w:r>
      <w:r>
        <w:t xml:space="preserve">Accountant</w:t>
      </w:r>
      <w:r>
        <w:t xml:space="preserve"> </w:t>
      </w:r>
      <w:r>
        <w:t xml:space="preserve">services that will be provided to the client within the city of</w:t>
      </w:r>
      <w:r>
        <w:t xml:space="preserve"> </w:t>
      </w:r>
      <w:r>
        <w:t xml:space="preserve">China Guangzhou</w:t>
      </w:r>
      <w:r>
        <w:t xml:space="preserve">. The scope encompasses full-cycle bookkeeping, statutory tax compliance under the tax regulations of the People's Republic of China, monthly and annual financial reporting, and advisory support tailored to the operational needs of businesses operating in the Guangzhou metropolitan area. This document serves as a formal, binding proposal once accepted by the client.</w:t>
      </w:r>
    </w:p>
    <w:p>
      <w:pPr>
        <w:pStyle w:val="BodyText"/>
      </w:pPr>
      <w:r>
        <w:t xml:space="preserve">The</w:t>
      </w:r>
      <w:r>
        <w:t xml:space="preserve"> </w:t>
      </w:r>
      <w:r>
        <w:t xml:space="preserve">Accountant</w:t>
      </w:r>
      <w:r>
        <w:t xml:space="preserve"> </w:t>
      </w:r>
      <w:r>
        <w:t xml:space="preserve">engagement described herein is designed to meet the specific regulatory requirements imposed by the Guangzhou Municipal Tax Bureau, the State Administration of Taxation (SAT), and the local Administration for Market Regulation. All services will be delivered in accordance with the Chinese Accounting Standards (CAS) and International Financial Reporting Standards (IFRS) where applicable to the client's reporting obligations.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(CNY)</w:t>
            </w:r>
          </w:p>
        </w:tc>
        <w:tc>
          <w:tcPr/>
          <w:p>
            <w:pPr>
              <w:pStyle w:val="Compact"/>
              <w:jc w:val="left"/>
            </w:pPr>
            <w:r>
              <w:t xml:space="preserve">Annual Cost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Bookkeeping &amp; General Ledger Maintenance by a certified Accountant</w:t>
            </w:r>
          </w:p>
        </w:tc>
        <w:tc>
          <w:tcPr/>
          <w:p>
            <w:pPr>
              <w:pStyle w:val="Compact"/>
              <w:jc w:val="left"/>
            </w:pPr>
            <w:r>
              <w:t xml:space="preserve">Monthly</w:t>
            </w:r>
          </w:p>
        </w:tc>
        <w:tc>
          <w:tcPr/>
          <w:p>
            <w:pPr>
              <w:pStyle w:val="Compact"/>
              <w:jc w:val="left"/>
            </w:pPr>
            <w:r>
              <w:t xml:space="preserve">3,500</w:t>
            </w:r>
          </w:p>
        </w:tc>
        <w:tc>
          <w:tcPr/>
          <w:p>
            <w:pPr>
              <w:pStyle w:val="Compact"/>
              <w:jc w:val="left"/>
            </w:pPr>
            <w:r>
              <w:t xml:space="preserve">42,000</w:t>
            </w:r>
          </w:p>
        </w:tc>
        <w:tc>
          <w:tcPr/>
          <w:p>
            <w:pPr>
              <w:pStyle w:val="Compact"/>
              <w:jc w:val="left"/>
            </w:pPr>
            <w:r>
              <w:t xml:space="preserve">Incl. voucher preparation</w:t>
            </w:r>
          </w:p>
        </w:tc>
      </w:tr>
      <w:tr>
        <w:tc>
          <w:tcPr/>
          <w:p>
            <w:pPr>
              <w:pStyle w:val="Compact"/>
              <w:jc w:val="left"/>
            </w:pPr>
            <w:r>
              <w:t xml:space="preserve">2</w:t>
            </w:r>
          </w:p>
        </w:tc>
        <w:tc>
          <w:tcPr/>
          <w:p>
            <w:pPr>
              <w:pStyle w:val="Compact"/>
              <w:jc w:val="left"/>
            </w:pPr>
            <w:r>
              <w:t xml:space="preserve">Statutory Tax Filing (VAT, Corporate Income Tax, Individual Income Tax) – Guangzhou Municipal Tax Bureau</w:t>
            </w:r>
          </w:p>
        </w:tc>
        <w:tc>
          <w:tcPr/>
          <w:p>
            <w:pPr>
              <w:pStyle w:val="Compact"/>
              <w:jc w:val="left"/>
            </w:pPr>
            <w:r>
              <w:t xml:space="preserve">Quarterly / Monthly</w:t>
            </w:r>
          </w:p>
        </w:tc>
        <w:tc>
          <w:tcPr/>
          <w:p>
            <w:pPr>
              <w:pStyle w:val="Compact"/>
              <w:jc w:val="left"/>
            </w:pPr>
            <w:r>
              <w:t xml:space="preserve">2,800</w:t>
            </w:r>
          </w:p>
        </w:tc>
        <w:tc>
          <w:tcPr/>
          <w:p>
            <w:pPr>
              <w:pStyle w:val="Compact"/>
              <w:jc w:val="left"/>
            </w:pPr>
            <w:r>
              <w:t xml:space="preserve">33,600</w:t>
            </w:r>
          </w:p>
        </w:tc>
        <w:tc>
          <w:tcPr/>
          <w:p>
            <w:pPr>
              <w:pStyle w:val="Compact"/>
              <w:jc w:val="left"/>
            </w:pPr>
            <w:r>
              <w:t xml:space="preserve">Per filing cycle</w:t>
            </w:r>
          </w:p>
        </w:tc>
      </w:tr>
      <w:tr>
        <w:tc>
          <w:tcPr/>
          <w:p>
            <w:pPr>
              <w:pStyle w:val="Compact"/>
              <w:jc w:val="left"/>
            </w:pPr>
            <w:r>
              <w:t xml:space="preserve">3</w:t>
            </w:r>
          </w:p>
        </w:tc>
        <w:tc>
          <w:tcPr/>
          <w:p>
            <w:pPr>
              <w:pStyle w:val="Compact"/>
              <w:jc w:val="left"/>
            </w:pPr>
            <w:r>
              <w:t xml:space="preserve">Annual Financial Statement Preparation &amp; Audit Coordination</w:t>
            </w:r>
          </w:p>
        </w:tc>
        <w:tc>
          <w:tcPr/>
          <w:p>
            <w:pPr>
              <w:pStyle w:val="Compact"/>
              <w:jc w:val="left"/>
            </w:pPr>
            <w:r>
              <w:t xml:space="preserve">Annually</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Per CAS &amp; IFRS</w:t>
            </w:r>
          </w:p>
        </w:tc>
      </w:tr>
      <w:tr>
        <w:tc>
          <w:tcPr/>
          <w:p>
            <w:pPr>
              <w:pStyle w:val="Compact"/>
              <w:jc w:val="left"/>
            </w:pPr>
            <w:r>
              <w:t xml:space="preserve">4</w:t>
            </w:r>
          </w:p>
        </w:tc>
        <w:tc>
          <w:tcPr/>
          <w:p>
            <w:pPr>
              <w:pStyle w:val="Compact"/>
              <w:jc w:val="left"/>
            </w:pPr>
            <w:r>
              <w:t xml:space="preserve">Payroll Processing &amp; Social Security / Housing Fund Compliance (Guangzhou-specific rates)</w:t>
            </w:r>
          </w:p>
        </w:tc>
        <w:tc>
          <w:tcPr/>
          <w:p>
            <w:pPr>
              <w:pStyle w:val="Compact"/>
              <w:jc w:val="left"/>
            </w:pPr>
            <w:r>
              <w:t xml:space="preserve">Monthly</w:t>
            </w:r>
          </w:p>
        </w:tc>
        <w:tc>
          <w:tcPr/>
          <w:p>
            <w:pPr>
              <w:pStyle w:val="Compact"/>
              <w:jc w:val="left"/>
            </w:pPr>
            <w:r>
              <w:t xml:space="preserve">4,200</w:t>
            </w:r>
          </w:p>
        </w:tc>
        <w:tc>
          <w:tcPr/>
          <w:p>
            <w:pPr>
              <w:pStyle w:val="Compact"/>
              <w:jc w:val="left"/>
            </w:pPr>
            <w:r>
              <w:t xml:space="preserve">50,400</w:t>
            </w:r>
          </w:p>
        </w:tc>
        <w:tc>
          <w:tcPr/>
          <w:p>
            <w:pPr>
              <w:pStyle w:val="Compact"/>
              <w:jc w:val="left"/>
            </w:pPr>
            <w:r>
              <w:t xml:space="preserve">Up to 50 employees</w:t>
            </w:r>
          </w:p>
        </w:tc>
      </w:tr>
      <w:tr>
        <w:tc>
          <w:tcPr/>
          <w:p>
            <w:pPr>
              <w:pStyle w:val="Compact"/>
              <w:jc w:val="left"/>
            </w:pPr>
            <w:r>
              <w:t xml:space="preserve">5</w:t>
            </w:r>
          </w:p>
        </w:tc>
        <w:tc>
          <w:tcPr/>
          <w:p>
            <w:pPr>
              <w:pStyle w:val="Compact"/>
              <w:jc w:val="left"/>
            </w:pPr>
            <w:r>
              <w:t xml:space="preserve">Advisory &amp; Consultation – Tax Planning, Cross-border Transactions, FDI Compliance</w:t>
            </w:r>
          </w:p>
        </w:tc>
        <w:tc>
          <w:tcPr/>
          <w:p>
            <w:pPr>
              <w:pStyle w:val="Compact"/>
              <w:jc w:val="left"/>
            </w:pPr>
            <w:r>
              <w:t xml:space="preserve">As needed</w:t>
            </w:r>
          </w:p>
        </w:tc>
        <w:tc>
          <w:tcPr/>
          <w:p>
            <w:pPr>
              <w:pStyle w:val="Compact"/>
              <w:jc w:val="left"/>
            </w:pPr>
            <w:r>
              <w:t xml:space="preserve">1,200/hr</w:t>
            </w:r>
          </w:p>
        </w:tc>
        <w:tc>
          <w:tcPr/>
          <w:p>
            <w:pPr>
              <w:pStyle w:val="Compact"/>
              <w:jc w:val="left"/>
            </w:pPr>
            <w:r>
              <w:t xml:space="preserve">14,400</w:t>
            </w:r>
          </w:p>
        </w:tc>
        <w:tc>
          <w:tcPr/>
          <w:p>
            <w:pPr>
              <w:pStyle w:val="Compact"/>
              <w:jc w:val="left"/>
            </w:pPr>
            <w:r>
              <w:t xml:space="preserve">12 hrs allocated</w:t>
            </w:r>
          </w:p>
        </w:tc>
      </w:tr>
      <w:tr>
        <w:tc>
          <w:tcPr/>
          <w:p>
            <w:pPr>
              <w:pStyle w:val="Compact"/>
              <w:jc w:val="left"/>
            </w:pPr>
            <w:r>
              <w:t xml:space="preserve">6</w:t>
            </w:r>
          </w:p>
        </w:tc>
        <w:tc>
          <w:tcPr/>
          <w:p>
            <w:pPr>
              <w:pStyle w:val="Compact"/>
              <w:jc w:val="left"/>
            </w:pPr>
            <w:r>
              <w:t xml:space="preserve">Bank Reconciliation &amp; Cash Flow Reporting (RMB &amp; Foreign Currency accounts)</w:t>
            </w:r>
          </w:p>
        </w:tc>
        <w:tc>
          <w:tcPr/>
          <w:p>
            <w:pPr>
              <w:pStyle w:val="Compact"/>
              <w:jc w:val="left"/>
            </w:pPr>
            <w:r>
              <w:t xml:space="preserve">Monthly</w:t>
            </w:r>
          </w:p>
        </w:tc>
        <w:tc>
          <w:tcPr/>
          <w:p>
            <w:pPr>
              <w:pStyle w:val="Compact"/>
              <w:jc w:val="left"/>
            </w:pPr>
            <w:r>
              <w:t xml:space="preserve">1,500</w:t>
            </w:r>
          </w:p>
        </w:tc>
        <w:tc>
          <w:tcPr/>
          <w:p>
            <w:pPr>
              <w:pStyle w:val="Compact"/>
              <w:jc w:val="left"/>
            </w:pPr>
            <w:r>
              <w:t xml:space="preserve">18,000</w:t>
            </w:r>
          </w:p>
        </w:tc>
        <w:tc>
          <w:tcPr/>
          <w:p>
            <w:pPr>
              <w:pStyle w:val="Compact"/>
              <w:jc w:val="left"/>
            </w:pPr>
            <w:r>
              <w:t xml:space="preserve">All accounts</w:t>
            </w:r>
          </w:p>
        </w:tc>
      </w:tr>
      <w:tr>
        <w:tc>
          <w:tcPr/>
          <w:p>
            <w:pPr>
              <w:pStyle w:val="Compact"/>
              <w:jc w:val="left"/>
            </w:pPr>
            <w:r>
              <w:t xml:space="preserve">7</w:t>
            </w:r>
          </w:p>
        </w:tc>
        <w:tc>
          <w:tcPr/>
          <w:p>
            <w:pPr>
              <w:pStyle w:val="Compact"/>
              <w:jc w:val="left"/>
            </w:pPr>
            <w:r>
              <w:t xml:space="preserve">Annual Business License Renewal &amp; Government Filing Support in Guangzhou</w:t>
            </w:r>
          </w:p>
        </w:tc>
        <w:tc>
          <w:tcPr/>
          <w:p>
            <w:pPr>
              <w:pStyle w:val="Compact"/>
              <w:jc w:val="left"/>
            </w:pPr>
            <w:r>
              <w:t xml:space="preserve">Annually</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AMR compliance</w:t>
            </w:r>
          </w:p>
        </w:tc>
      </w:tr>
      <w:tr>
        <w:tc>
          <w:tcPr/>
          <w:p>
            <w:pPr>
              <w:pStyle w:val="Compact"/>
              <w:jc w:val="left"/>
            </w:pPr>
            <w:r>
              <w:t xml:space="preserve">8</w:t>
            </w:r>
          </w:p>
        </w:tc>
        <w:tc>
          <w:tcPr/>
          <w:p>
            <w:pPr>
              <w:pStyle w:val="Compact"/>
              <w:jc w:val="left"/>
            </w:pPr>
            <w:r>
              <w:t xml:space="preserve">Dedicated Accountant On-site Support (Guangzhou office visits)</w:t>
            </w:r>
          </w:p>
        </w:tc>
        <w:tc>
          <w:tcPr/>
          <w:p>
            <w:pPr>
              <w:pStyle w:val="Compact"/>
              <w:jc w:val="left"/>
            </w:pPr>
            <w:r>
              <w:t xml:space="preserve">Bi-weekly</w:t>
            </w:r>
          </w:p>
        </w:tc>
        <w:tc>
          <w:tcPr/>
          <w:p>
            <w:pPr>
              <w:pStyle w:val="Compact"/>
              <w:jc w:val="left"/>
            </w:pPr>
            <w:r>
              <w:t xml:space="preserve">2,000</w:t>
            </w:r>
          </w:p>
        </w:tc>
        <w:tc>
          <w:tcPr/>
          <w:p>
            <w:pPr>
              <w:pStyle w:val="Compact"/>
              <w:jc w:val="left"/>
            </w:pPr>
            <w:r>
              <w:t xml:space="preserve">52,000</w:t>
            </w:r>
          </w:p>
        </w:tc>
        <w:tc>
          <w:tcPr/>
          <w:p>
            <w:pPr>
              <w:pStyle w:val="Compact"/>
              <w:jc w:val="left"/>
            </w:pPr>
            <w:r>
              <w:t xml:space="preserve">26 visits/year</w:t>
            </w:r>
          </w:p>
        </w:tc>
      </w:tr>
      <w:tr>
        <w:tc>
          <w:tcPr>
            <w:gridSpan w:val="4"/>
          </w:tcPr>
          <w:p>
            <w:pPr>
              <w:pStyle w:val="Compact"/>
              <w:jc w:val="left"/>
            </w:pPr>
            <w:r>
              <w:t xml:space="preserve">TOTAL ANNUAL ESTIMATE (Incl. 6% VAT)</w:t>
            </w:r>
          </w:p>
        </w:tc>
        <w:tc>
          <w:tcPr/>
          <w:p>
            <w:pPr>
              <w:pStyle w:val="Compact"/>
              <w:jc w:val="left"/>
            </w:pPr>
            <w:r>
              <w:t xml:space="preserve">233,400</w:t>
            </w:r>
          </w:p>
        </w:tc>
        <w:tc>
          <w:tcPr/>
          <w:p>
            <w:pPr>
              <w:pStyle w:val="Compact"/>
            </w:pPr>
          </w:p>
        </w:tc>
      </w:tr>
    </w:tbl>
    <w:p>
      <w:pPr>
        <w:pStyle w:val="BodyText"/>
      </w:pPr>
      <w:r>
        <w:rPr>
          <w:bCs/>
          <w:b/>
        </w:rPr>
        <w:t xml:space="preserve">Note:</w:t>
      </w:r>
      <w:r>
        <w:t xml:space="preserve"> </w:t>
      </w:r>
      <w:r>
        <w:t xml:space="preserve">This Quotation Estimate assumes the client's business is registered in Guangzhou, Guangdong Province. If operations extend to other provinces or municipalities, additional inter-provincial tax filing fees may apply and will be quoted separately. The assigned Accountant will hold a valid Chinese Certified Public Accountant (CPA) license and a minimum of five years of experience in Guangzhou-based corporate accounting.</w:t>
      </w:r>
    </w:p>
    <w:bookmarkEnd w:id="22"/>
    <w:bookmarkStart w:id="23" w:name="terms-and-conditions"/>
    <w:p>
      <w:pPr>
        <w:pStyle w:val="Heading2"/>
      </w:pPr>
      <w:r>
        <w:t xml:space="preserve">3. Terms and Conditions</w:t>
      </w:r>
    </w:p>
    <w:p>
      <w:pPr>
        <w:numPr>
          <w:ilvl w:val="0"/>
          <w:numId w:val="1001"/>
        </w:numPr>
        <w:pStyle w:val="Compact"/>
      </w:pPr>
      <w:r>
        <w:rPr>
          <w:bCs/>
          <w:b/>
        </w:rPr>
        <w:t xml:space="preserve">Engagement Period:</w:t>
      </w:r>
      <w:r>
        <w:t xml:space="preserve"> </w:t>
      </w:r>
      <w:r>
        <w:t xml:space="preserve">The Accountant services outlined in this Quotation Estimate are proposed for an initial term of twelve (12) months, renewable upon mutual written agreement.</w:t>
      </w:r>
    </w:p>
    <w:p>
      <w:pPr>
        <w:numPr>
          <w:ilvl w:val="0"/>
          <w:numId w:val="1001"/>
        </w:numPr>
        <w:pStyle w:val="Compact"/>
      </w:pPr>
      <w:r>
        <w:rPr>
          <w:bCs/>
          <w:b/>
        </w:rPr>
        <w:t xml:space="preserve">Payment Schedule:</w:t>
      </w:r>
      <w:r>
        <w:t xml:space="preserve"> </w:t>
      </w:r>
      <w:r>
        <w:t xml:space="preserve">Payment shall be made in quarterly installments of CNY 58,350 (25% of the total), due within fifteen (15) business days of each invoice date. The first installment is due upon execution of the service agreement.</w:t>
      </w:r>
    </w:p>
    <w:p>
      <w:pPr>
        <w:numPr>
          <w:ilvl w:val="0"/>
          <w:numId w:val="1001"/>
        </w:numPr>
        <w:pStyle w:val="Compact"/>
      </w:pPr>
      <w:r>
        <w:rPr>
          <w:bCs/>
          <w:b/>
        </w:rPr>
        <w:t xml:space="preserve">Confidentiality:</w:t>
      </w:r>
      <w:r>
        <w:t xml:space="preserve"> </w:t>
      </w:r>
      <w:r>
        <w:t xml:space="preserve">The Accountant and all supporting staff are bound by a strict Non-Disclosure Agreement (NDA) in compliance with the Personal Information Protection Law (PIPL) of the People's Republic of China and the Data Security Law effective in Guangzhou and nationwide.</w:t>
      </w:r>
    </w:p>
    <w:p>
      <w:pPr>
        <w:numPr>
          <w:ilvl w:val="0"/>
          <w:numId w:val="1001"/>
        </w:numPr>
        <w:pStyle w:val="Compact"/>
      </w:pPr>
      <w:r>
        <w:rPr>
          <w:bCs/>
          <w:b/>
        </w:rPr>
        <w:t xml:space="preserve">Liability:</w:t>
      </w:r>
      <w:r>
        <w:t xml:space="preserve"> </w:t>
      </w:r>
      <w:r>
        <w:t xml:space="preserve">The firm's liability under this Quotation Estimate is limited to the total fees paid for the specific service in which the alleged error or omission occurred. The firm shall not be liable for indirect, consequential, or punitive damages.</w:t>
      </w:r>
    </w:p>
    <w:p>
      <w:pPr>
        <w:numPr>
          <w:ilvl w:val="0"/>
          <w:numId w:val="1001"/>
        </w:numPr>
        <w:pStyle w:val="Compact"/>
      </w:pPr>
      <w:r>
        <w:rPr>
          <w:bCs/>
          <w:b/>
        </w:rPr>
        <w:t xml:space="preserve">Termination:</w:t>
      </w:r>
      <w:r>
        <w:t xml:space="preserve"> </w:t>
      </w:r>
      <w:r>
        <w:t xml:space="preserve">Either party may terminate the engagement with sixty (60) days' written notice. Upon termination, all completed work product and financial records shall be transferred to the client within ten (10) business days.</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government regulatory changes in China Guangzhou, or public health emergencies.</w:t>
      </w:r>
    </w:p>
    <w:p>
      <w:pPr>
        <w:numPr>
          <w:ilvl w:val="0"/>
          <w:numId w:val="1001"/>
        </w:numPr>
        <w:pStyle w:val="Compact"/>
      </w:pPr>
      <w:r>
        <w:rPr>
          <w:bCs/>
          <w:b/>
        </w:rPr>
        <w:t xml:space="preserve">Governing Law:</w:t>
      </w:r>
      <w:r>
        <w:t xml:space="preserve"> </w:t>
      </w:r>
      <w:r>
        <w:t xml:space="preserve">This Quotation Estimate and any resulting service agreement shall be governed by and construed in accordance with the laws of the People's Republic of China. Disputes shall be resolved through arbitration at the China International Economic and Trade Arbitration Commission (CIETAC) in Guangzhou.</w:t>
      </w:r>
    </w:p>
    <w:bookmarkEnd w:id="23"/>
    <w:bookmarkStart w:id="24" w:name="acceptance-and-authorization"/>
    <w:p>
      <w:pPr>
        <w:pStyle w:val="Heading2"/>
      </w:pPr>
      <w:r>
        <w:t xml:space="preserve">4. Acceptance and Authorization</w:t>
      </w:r>
    </w:p>
    <w:p>
      <w:pPr>
        <w:pStyle w:val="FirstParagraph"/>
      </w:pPr>
      <w:r>
        <w:t xml:space="preserve">By signing below, the client acknowledges that this Quotation Estimate for</w:t>
      </w:r>
      <w:r>
        <w:t xml:space="preserve"> </w:t>
      </w:r>
      <w:r>
        <w:t xml:space="preserve">Accountant</w:t>
      </w:r>
      <w:r>
        <w:t xml:space="preserve"> </w:t>
      </w:r>
      <w:r>
        <w:t xml:space="preserve">services in</w:t>
      </w:r>
      <w:r>
        <w:t xml:space="preserve"> </w:t>
      </w:r>
      <w:r>
        <w:t xml:space="preserve">China Guangzhou</w:t>
      </w:r>
      <w:r>
        <w:t xml:space="preserve"> </w:t>
      </w:r>
      <w:r>
        <w:t xml:space="preserve">has been reviewed, understood, and accepted in its entirety. The undersigned authorizes the firm to commence the described services upon receipt of the first payment installment.</w:t>
      </w:r>
    </w:p>
    <w:p>
      <w:pPr>
        <w:pStyle w:val="BodyText"/>
      </w:pPr>
      <w:r>
        <w:rPr>
          <w:bCs/>
          <w:b/>
        </w:rPr>
        <w:t xml:space="preserve">For: Guangzhou Professional Accounting &amp; Advisory Firm Co., Ltd.</w:t>
      </w:r>
    </w:p>
    <w:p>
      <w:pPr>
        <w:pStyle w:val="BodyText"/>
      </w:pP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 Company</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QE-GZ-2025-04782) is the property of Guangzhou Professional Accounting &amp; Advisory Firm Co., Ltd. and is issued exclusively for the named client. Unauthorized reproduction or distribution is prohibited. All services are subject to the terms stated herein and applicable PRC legislation. Document generated in Guangzhou, China –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China Guangzhou</dc:title>
  <dc:creator/>
  <dc:language>en</dc:language>
  <cp:keywords/>
  <dcterms:created xsi:type="dcterms:W3CDTF">2026-10-10T06:53:39Z</dcterms:created>
  <dcterms:modified xsi:type="dcterms:W3CDTF">2026-10-10T06:53:39Z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