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Accountant Services</w:t>
      </w:r>
    </w:p>
    <w:p>
      <w:pPr>
        <w:pStyle w:val="BodyText"/>
      </w:pPr>
      <w:r>
        <w:t xml:space="preserve">Medellín, Colombia</w:t>
      </w:r>
    </w:p>
    <w:p>
      <w:pPr>
        <w:pStyle w:val="BodyText"/>
      </w:pPr>
      <w:r>
        <w:t xml:space="preserve">Document No. QE-MDE-2025-0472</w:t>
      </w:r>
    </w:p>
    <w:bookmarkEnd w:id="20"/>
    <w:bookmarkStart w:id="21" w:name="service-provider"/>
    <w:p>
      <w:pPr>
        <w:pStyle w:val="Heading3"/>
      </w:pPr>
      <w:r>
        <w:t xml:space="preserve">Service Provider</w:t>
      </w:r>
    </w:p>
    <w:p>
      <w:pPr>
        <w:pStyle w:val="FirstParagraph"/>
      </w:pPr>
      <w:r>
        <w:rPr>
          <w:bCs/>
          <w:b/>
        </w:rPr>
        <w:t xml:space="preserve">Andina Contabilidad &amp; Asesoría S.A.S.</w:t>
      </w:r>
    </w:p>
    <w:p>
      <w:pPr>
        <w:pStyle w:val="BodyText"/>
      </w:pPr>
      <w:r>
        <w:t xml:space="preserve">NIT: 901.234.567-8</w:t>
      </w:r>
    </w:p>
    <w:p>
      <w:pPr>
        <w:pStyle w:val="BodyText"/>
      </w:pPr>
      <w:r>
        <w:t xml:space="preserve">Calle 43 # 43A-12, Of. 501</w:t>
      </w:r>
    </w:p>
    <w:p>
      <w:pPr>
        <w:pStyle w:val="BodyText"/>
      </w:pPr>
      <w:r>
        <w:t xml:space="preserve">El Poblado, Medellín, Antioquia, Colombia</w:t>
      </w:r>
    </w:p>
    <w:p>
      <w:pPr>
        <w:pStyle w:val="BodyText"/>
      </w:pPr>
      <w:r>
        <w:t xml:space="preserve">Phone: +57 (604) 444 5566</w:t>
      </w:r>
    </w:p>
    <w:p>
      <w:pPr>
        <w:pStyle w:val="BodyText"/>
      </w:pPr>
      <w:r>
        <w:t xml:space="preserve">Email: cotizaciones@andinaccontabilidad.co</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Legal Name]</w:t>
      </w:r>
    </w:p>
    <w:p>
      <w:pPr>
        <w:pStyle w:val="BodyText"/>
      </w:pPr>
      <w:r>
        <w:rPr>
          <w:bCs/>
          <w:b/>
        </w:rPr>
        <w:t xml:space="preserve">NIT:</w:t>
      </w:r>
      <w:r>
        <w:t xml:space="preserve"> </w:t>
      </w:r>
      <w:r>
        <w:t xml:space="preserve">[Client NIT Number]</w:t>
      </w:r>
    </w:p>
    <w:p>
      <w:pPr>
        <w:pStyle w:val="BodyText"/>
      </w:pPr>
      <w:r>
        <w:rPr>
          <w:bCs/>
          <w:b/>
        </w:rPr>
        <w:t xml:space="preserve">Address:</w:t>
      </w:r>
      <w:r>
        <w:t xml:space="preserve"> </w:t>
      </w:r>
      <w:r>
        <w:t xml:space="preserve">[Client Address, Medellín, Colombia]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 Email]</w:t>
      </w:r>
    </w:p>
    <w:p>
      <w:pPr>
        <w:pStyle w:val="BodyText"/>
      </w:pPr>
      <w:r>
        <w:rPr>
          <w:bCs/>
          <w:b/>
        </w:rPr>
        <w:t xml:space="preserve">Phone:</w:t>
      </w:r>
      <w:r>
        <w:t xml:space="preserve"> </w:t>
      </w:r>
      <w:r>
        <w:t xml:space="preserve">[Client Phone]</w:t>
      </w:r>
    </w:p>
    <w:bookmarkEnd w:id="22"/>
    <w:p>
      <w:pPr>
        <w:pStyle w:val="BodyText"/>
      </w:pPr>
      <w:r>
        <w:rPr>
          <w:bCs/>
          <w:b/>
        </w:rPr>
        <w:t xml:space="preserve">Date of Issue:</w:t>
      </w:r>
      <w:r>
        <w:t xml:space="preserve"> </w:t>
      </w:r>
      <w:r>
        <w:t xml:space="preserve">June 15, 2025   |  </w:t>
      </w:r>
      <w:r>
        <w:t xml:space="preserve"> </w:t>
      </w:r>
      <w:r>
        <w:rPr>
          <w:bCs/>
          <w:b/>
        </w:rPr>
        <w:t xml:space="preserve">Valid Until:</w:t>
      </w:r>
      <w:r>
        <w:t xml:space="preserve"> </w:t>
      </w:r>
      <w:r>
        <w:t xml:space="preserve">July 15, 2025   |  </w:t>
      </w:r>
      <w:r>
        <w:t xml:space="preserve"> </w:t>
      </w:r>
      <w:r>
        <w:rPr>
          <w:bCs/>
          <w:b/>
        </w:rPr>
        <w:t xml:space="preserve">Currency:</w:t>
      </w:r>
      <w:r>
        <w:t xml:space="preserve"> </w:t>
      </w:r>
      <w:r>
        <w:t xml:space="preserve">Colombian Pesos (COP / $)</w:t>
      </w:r>
    </w:p>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Andina Contabilidad &amp; Asesoría S.A.S. to provide a comprehensive and transparent breakdown of professional</w:t>
      </w:r>
      <w:r>
        <w:t xml:space="preserve"> </w:t>
      </w:r>
      <w:r>
        <w:t xml:space="preserve">Accountant</w:t>
      </w:r>
      <w:r>
        <w:t xml:space="preserve"> </w:t>
      </w:r>
      <w:r>
        <w:t xml:space="preserve">services to be rendered in the city of</w:t>
      </w:r>
      <w:r>
        <w:t xml:space="preserve"> </w:t>
      </w:r>
      <w:r>
        <w:t xml:space="preserve">Colombia Medellín</w:t>
      </w:r>
      <w:r>
        <w:t xml:space="preserve">, Antioquia Department. This document serves as a formal proposal outlining the scope, deliverables, timeline, and associated costs for the engagement of a certified Accountant to manage, audit, and advise on the financial and tax obligations of the client in full compliance with Colombian national regulations administered by the DIAN (Dirección de Impuestos y Aduanas Nacionales) and the local municipal tax authority of Medellín (Secretaría de Hacienda de Medellín).</w:t>
      </w:r>
    </w:p>
    <w:bookmarkEnd w:id="23"/>
    <w:bookmarkStart w:id="24" w:name="scope-of-accountant-services"/>
    <w:p>
      <w:pPr>
        <w:pStyle w:val="Heading2"/>
      </w:pPr>
      <w:r>
        <w:t xml:space="preserve">2. Scope of Accountant Services</w:t>
      </w:r>
    </w:p>
    <w:p>
      <w:pPr>
        <w:pStyle w:val="FirstParagraph"/>
      </w:pPr>
      <w:r>
        <w:t xml:space="preserve">The following services constitute the complete engagement of the Accountant professional for the client's operations based in Colombia Medellín: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Estimated Hours</w:t>
            </w:r>
          </w:p>
        </w:tc>
        <w:tc>
          <w:tcPr/>
          <w:p>
            <w:pPr>
              <w:pStyle w:val="Compact"/>
              <w:jc w:val="left"/>
            </w:pPr>
            <w:r>
              <w:t xml:space="preserve">Cost (COP)</w:t>
            </w:r>
          </w:p>
        </w:tc>
      </w:tr>
      <w:tr>
        <w:tc>
          <w:tcPr/>
          <w:p>
            <w:pPr>
              <w:pStyle w:val="Compact"/>
              <w:jc w:val="left"/>
            </w:pPr>
            <w:r>
              <w:t xml:space="preserve">1</w:t>
            </w:r>
          </w:p>
        </w:tc>
        <w:tc>
          <w:tcPr/>
          <w:p>
            <w:pPr>
              <w:pStyle w:val="Compact"/>
              <w:jc w:val="left"/>
            </w:pPr>
            <w:r>
              <w:t xml:space="preserve">Monthly bookkeeping and general ledger maintenance in accordance with Colombian Commercial Code and IFRS (NIIF) standards applicable in Colombia Medellín</w:t>
            </w:r>
          </w:p>
        </w:tc>
        <w:tc>
          <w:tcPr/>
          <w:p>
            <w:pPr>
              <w:pStyle w:val="Compact"/>
              <w:jc w:val="left"/>
            </w:pPr>
            <w:r>
              <w:t xml:space="preserve">Monthly</w:t>
            </w:r>
          </w:p>
        </w:tc>
        <w:tc>
          <w:tcPr/>
          <w:p>
            <w:pPr>
              <w:pStyle w:val="Compact"/>
              <w:jc w:val="left"/>
            </w:pPr>
            <w:r>
              <w:t xml:space="preserve">24 hrs</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Preparation and electronic filing of monthly tax returns (Formulario 210, 310, 350) with DIAN and municipal tax declarations with Medellín's Secretaría de Hacienda</w:t>
            </w:r>
          </w:p>
        </w:tc>
        <w:tc>
          <w:tcPr/>
          <w:p>
            <w:pPr>
              <w:pStyle w:val="Compact"/>
              <w:jc w:val="left"/>
            </w:pPr>
            <w:r>
              <w:t xml:space="preserve">Monthly</w:t>
            </w:r>
          </w:p>
        </w:tc>
        <w:tc>
          <w:tcPr/>
          <w:p>
            <w:pPr>
              <w:pStyle w:val="Compact"/>
              <w:jc w:val="left"/>
            </w:pPr>
            <w:r>
              <w:t xml:space="preserve">12 hrs</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Payroll processing, social security contributions (Pension, Health, ARL), and ICA tax withholding for employees registered in Medellín</w:t>
            </w:r>
          </w:p>
        </w:tc>
        <w:tc>
          <w:tcPr/>
          <w:p>
            <w:pPr>
              <w:pStyle w:val="Compact"/>
              <w:jc w:val="left"/>
            </w:pPr>
            <w:r>
              <w:t xml:space="preserve">Monthly</w:t>
            </w:r>
          </w:p>
        </w:tc>
        <w:tc>
          <w:tcPr/>
          <w:p>
            <w:pPr>
              <w:pStyle w:val="Compact"/>
              <w:jc w:val="left"/>
            </w:pPr>
            <w:r>
              <w:t xml:space="preserve">16 hrs</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Quarterly financial statement preparation (Balance Sheet, Income Statement, Cash Flow) and management reporting</w:t>
            </w:r>
          </w:p>
        </w:tc>
        <w:tc>
          <w:tcPr/>
          <w:p>
            <w:pPr>
              <w:pStyle w:val="Compact"/>
              <w:jc w:val="left"/>
            </w:pPr>
            <w:r>
              <w:t xml:space="preserve">Quarterly</w:t>
            </w:r>
          </w:p>
        </w:tc>
        <w:tc>
          <w:tcPr/>
          <w:p>
            <w:pPr>
              <w:pStyle w:val="Compact"/>
              <w:jc w:val="left"/>
            </w:pPr>
            <w:r>
              <w:t xml:space="preserve">20 hrs</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Annual tax return preparation (Formulario 100) and annual financial audit coordination with external auditors as required by Colombian law</w:t>
            </w:r>
          </w:p>
        </w:tc>
        <w:tc>
          <w:tcPr/>
          <w:p>
            <w:pPr>
              <w:pStyle w:val="Compact"/>
              <w:jc w:val="left"/>
            </w:pPr>
            <w:r>
              <w:t xml:space="preserve">Annual</w:t>
            </w:r>
          </w:p>
        </w:tc>
        <w:tc>
          <w:tcPr/>
          <w:p>
            <w:pPr>
              <w:pStyle w:val="Compact"/>
              <w:jc w:val="left"/>
            </w:pPr>
            <w:r>
              <w:t xml:space="preserve">48 hrs</w:t>
            </w:r>
          </w:p>
        </w:tc>
        <w:tc>
          <w:tcPr/>
          <w:p>
            <w:pPr>
              <w:pStyle w:val="Compact"/>
              <w:jc w:val="left"/>
            </w:pPr>
            <w:r>
              <w:t xml:space="preserve">$5,800,000</w:t>
            </w:r>
          </w:p>
        </w:tc>
      </w:tr>
      <w:tr>
        <w:tc>
          <w:tcPr/>
          <w:p>
            <w:pPr>
              <w:pStyle w:val="Compact"/>
              <w:jc w:val="left"/>
            </w:pPr>
            <w:r>
              <w:t xml:space="preserve">6</w:t>
            </w:r>
          </w:p>
        </w:tc>
        <w:tc>
          <w:tcPr/>
          <w:p>
            <w:pPr>
              <w:pStyle w:val="Compact"/>
              <w:jc w:val="left"/>
            </w:pPr>
            <w:r>
              <w:t xml:space="preserve">Tax advisory, planning, and compliance review specific to Antioquia Department regulations and Medellín municipal ordinances</w:t>
            </w:r>
          </w:p>
        </w:tc>
        <w:tc>
          <w:tcPr/>
          <w:p>
            <w:pPr>
              <w:pStyle w:val="Compact"/>
              <w:jc w:val="left"/>
            </w:pPr>
            <w:r>
              <w:t xml:space="preserve">As needed</w:t>
            </w:r>
          </w:p>
        </w:tc>
        <w:tc>
          <w:tcPr/>
          <w:p>
            <w:pPr>
              <w:pStyle w:val="Compact"/>
              <w:jc w:val="left"/>
            </w:pPr>
            <w:r>
              <w:t xml:space="preserve">8 hrs</w:t>
            </w:r>
          </w:p>
        </w:tc>
        <w:tc>
          <w:tcPr/>
          <w:p>
            <w:pPr>
              <w:pStyle w:val="Compact"/>
              <w:jc w:val="left"/>
            </w:pPr>
            <w:r>
              <w:t xml:space="preserve">$960,000</w:t>
            </w:r>
          </w:p>
        </w:tc>
      </w:tr>
      <w:tr>
        <w:tc>
          <w:tcPr/>
          <w:p>
            <w:pPr>
              <w:pStyle w:val="Compact"/>
              <w:jc w:val="left"/>
            </w:pPr>
            <w:r>
              <w:t xml:space="preserve">7</w:t>
            </w:r>
          </w:p>
        </w:tc>
        <w:tc>
          <w:tcPr/>
          <w:p>
            <w:pPr>
              <w:pStyle w:val="Compact"/>
              <w:jc w:val="left"/>
            </w:pPr>
            <w:r>
              <w:t xml:space="preserve">Management of electronic invoicing (Facturación Electrónica) per DIAN Resolution 000195 of 2023 and related compliance</w:t>
            </w:r>
          </w:p>
        </w:tc>
        <w:tc>
          <w:tcPr/>
          <w:p>
            <w:pPr>
              <w:pStyle w:val="Compact"/>
              <w:jc w:val="left"/>
            </w:pPr>
            <w:r>
              <w:t xml:space="preserve">Monthly</w:t>
            </w:r>
          </w:p>
        </w:tc>
        <w:tc>
          <w:tcPr/>
          <w:p>
            <w:pPr>
              <w:pStyle w:val="Compact"/>
              <w:jc w:val="left"/>
            </w:pPr>
            <w:r>
              <w:t xml:space="preserve">6 hrs</w:t>
            </w:r>
          </w:p>
        </w:tc>
        <w:tc>
          <w:tcPr/>
          <w:p>
            <w:pPr>
              <w:pStyle w:val="Compact"/>
              <w:jc w:val="left"/>
            </w:pPr>
            <w:r>
              <w:t xml:space="preserve">$650,000</w:t>
            </w:r>
          </w:p>
        </w:tc>
      </w:tr>
      <w:tr>
        <w:tc>
          <w:tcPr/>
          <w:p>
            <w:pPr>
              <w:pStyle w:val="Compact"/>
              <w:jc w:val="left"/>
            </w:pPr>
            <w:r>
              <w:t xml:space="preserve">8</w:t>
            </w:r>
          </w:p>
        </w:tc>
        <w:tc>
          <w:tcPr/>
          <w:p>
            <w:pPr>
              <w:pStyle w:val="Compact"/>
              <w:jc w:val="left"/>
            </w:pPr>
            <w:r>
              <w:t xml:space="preserve">Reconciliation of bank accounts, accounts receivable, and accounts payable; internal control recommendations</w:t>
            </w:r>
          </w:p>
        </w:tc>
        <w:tc>
          <w:tcPr/>
          <w:p>
            <w:pPr>
              <w:pStyle w:val="Compact"/>
              <w:jc w:val="left"/>
            </w:pPr>
            <w:r>
              <w:t xml:space="preserve">Monthly</w:t>
            </w:r>
          </w:p>
        </w:tc>
        <w:tc>
          <w:tcPr/>
          <w:p>
            <w:pPr>
              <w:pStyle w:val="Compact"/>
              <w:jc w:val="left"/>
            </w:pPr>
            <w:r>
              <w:t xml:space="preserve">10 hrs</w:t>
            </w:r>
          </w:p>
        </w:tc>
        <w:tc>
          <w:tcPr/>
          <w:p>
            <w:pPr>
              <w:pStyle w:val="Compact"/>
              <w:jc w:val="left"/>
            </w:pPr>
            <w:r>
              <w:t xml:space="preserve">$780,000</w:t>
            </w:r>
          </w:p>
        </w:tc>
      </w:tr>
      <w:tr>
        <w:tc>
          <w:tcPr>
            <w:gridSpan w:val="4"/>
          </w:tcPr>
          <w:p>
            <w:pPr>
              <w:pStyle w:val="Compact"/>
              <w:jc w:val="left"/>
            </w:pPr>
            <w:r>
              <w:t xml:space="preserve">TOTAL MONTHLY ESTIMATED COST</w:t>
            </w:r>
          </w:p>
        </w:tc>
        <w:tc>
          <w:tcPr/>
          <w:p>
            <w:pPr>
              <w:pStyle w:val="Compact"/>
              <w:jc w:val="left"/>
            </w:pPr>
            <w:r>
              <w:t xml:space="preserve">$6,940,000</w:t>
            </w:r>
          </w:p>
        </w:tc>
      </w:tr>
      <w:tr>
        <w:tc>
          <w:tcPr>
            <w:gridSpan w:val="4"/>
          </w:tcPr>
          <w:p>
            <w:pPr>
              <w:pStyle w:val="Compact"/>
              <w:jc w:val="left"/>
            </w:pPr>
            <w:r>
              <w:t xml:space="preserve">TOTAL ANNUAL ESTIMATED COST (12 months + annual services)</w:t>
            </w:r>
          </w:p>
        </w:tc>
        <w:tc>
          <w:tcPr/>
          <w:p>
            <w:pPr>
              <w:pStyle w:val="Compact"/>
              <w:jc w:val="left"/>
            </w:pPr>
            <w:r>
              <w:t xml:space="preserve">$89,080,000</w:t>
            </w:r>
          </w:p>
        </w:tc>
      </w:tr>
    </w:tbl>
    <w:bookmarkEnd w:id="24"/>
    <w:bookmarkStart w:id="25" w:name="X392c656b8a1b68dfdce0fda0ab1be2abd7a478b"/>
    <w:p>
      <w:pPr>
        <w:pStyle w:val="Heading2"/>
      </w:pPr>
      <w:r>
        <w:t xml:space="preserve">3. Professional Qualifications of the Accountant</w:t>
      </w:r>
    </w:p>
    <w:p>
      <w:pPr>
        <w:pStyle w:val="FirstParagraph"/>
      </w:pPr>
      <w:r>
        <w:t xml:space="preserve">The Accountant assigned to this engagement in Colombia Medellín holds a professional degree in Accounting (Contador Público) from a recognized Colombian university, is registered with the Junta Central de Contadores (JCC), and possesses a minimum of eight (8) years of experience in corporate accounting, tax compliance, and financial reporting under Colombian law. The Accountant is fully versed in the current tax framework of Colombia, including the 2023 Tax Reform (Ley 2277 de 2022) and all subsequent regulatory updates issued by the DIAN and the Ministry of Finance. Additionally, the Accountant maintains active knowledge of Antioquia Department and Medellín municipal tax obligations, including the ICA (Impuesto al Consumo) and property tax (Predial) requirements specific to the city.</w:t>
      </w:r>
    </w:p>
    <w:bookmarkEnd w:id="25"/>
    <w:bookmarkStart w:id="26"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based on changes in the Colombian minimum wage, tax rates, or service scope.</w:t>
      </w:r>
    </w:p>
    <w:p>
      <w:pPr>
        <w:numPr>
          <w:ilvl w:val="0"/>
          <w:numId w:val="1001"/>
        </w:numPr>
        <w:pStyle w:val="Compact"/>
      </w:pPr>
      <w:r>
        <w:rPr>
          <w:bCs/>
          <w:b/>
        </w:rPr>
        <w:t xml:space="preserve">Payment Terms:</w:t>
      </w:r>
      <w:r>
        <w:t xml:space="preserve"> </w:t>
      </w:r>
      <w:r>
        <w:t xml:space="preserve">Invoices will be issued on the 5th business day of each month for services rendered in the preceding month. Payment is due within fifteen (15) calendar days of invoice date via bank transfer to the provider's account in Colombia. Late payments will incur a monthly interest rate equal to the maximum rate established by the Superintendencia Financiera de Colombia.</w:t>
      </w:r>
    </w:p>
    <w:p>
      <w:pPr>
        <w:numPr>
          <w:ilvl w:val="0"/>
          <w:numId w:val="1001"/>
        </w:numPr>
        <w:pStyle w:val="Compact"/>
      </w:pPr>
      <w:r>
        <w:rPr>
          <w:bCs/>
          <w:b/>
        </w:rPr>
        <w:t xml:space="preserve">Confidentiality:</w:t>
      </w:r>
      <w:r>
        <w:t xml:space="preserve"> </w:t>
      </w:r>
      <w:r>
        <w:t xml:space="preserve">The Accountant and all supporting staff are bound by strict confidentiality obligations under Colombian data protection law (Ley 1581 de 2012). All financial records, tax filings, and business information of the client will be treated as strictly confidential.</w:t>
      </w:r>
    </w:p>
    <w:p>
      <w:pPr>
        <w:numPr>
          <w:ilvl w:val="0"/>
          <w:numId w:val="1001"/>
        </w:numPr>
        <w:pStyle w:val="Compact"/>
      </w:pPr>
      <w:r>
        <w:rPr>
          <w:bCs/>
          <w:b/>
        </w:rPr>
        <w:t xml:space="preserve">Service Location:</w:t>
      </w:r>
      <w:r>
        <w:t xml:space="preserve"> </w:t>
      </w:r>
      <w:r>
        <w:t xml:space="preserve">Primary services will be delivered from the provider's office in El Poblado, Medellín, Colombia. Remote and virtual services are available upon request. On-site visits to the client's premises in Medellín will be coordinated in advance.</w:t>
      </w:r>
    </w:p>
    <w:p>
      <w:pPr>
        <w:numPr>
          <w:ilvl w:val="0"/>
          <w:numId w:val="1001"/>
        </w:numPr>
        <w:pStyle w:val="Compact"/>
      </w:pPr>
      <w:r>
        <w:rPr>
          <w:bCs/>
          <w:b/>
        </w:rPr>
        <w:t xml:space="preserve">Scope Changes:</w:t>
      </w:r>
      <w:r>
        <w:t xml:space="preserve"> </w:t>
      </w:r>
      <w:r>
        <w:t xml:space="preserve">Any modification to the scope of services outlined in this Quotation Estimate will require a written amendment signed by both parties. Additional services not included herein will be quoted separately.</w:t>
      </w:r>
    </w:p>
    <w:p>
      <w:pPr>
        <w:numPr>
          <w:ilvl w:val="0"/>
          <w:numId w:val="1001"/>
        </w:numPr>
        <w:pStyle w:val="Compact"/>
      </w:pPr>
      <w:r>
        <w:rPr>
          <w:bCs/>
          <w:b/>
        </w:rPr>
        <w:t xml:space="preserve">Compliance Responsibility:</w:t>
      </w:r>
      <w:r>
        <w:t xml:space="preserve"> </w:t>
      </w:r>
      <w:r>
        <w:t xml:space="preserve">The Accountant will ensure timely filing of all mandatory tax declarations with DIAN and the Medellín municipal tax office. The client is responsible for providing all source documents, invoices, and supporting records in a timely manner to enable proper accounting treatment.</w:t>
      </w:r>
    </w:p>
    <w:p>
      <w:pPr>
        <w:numPr>
          <w:ilvl w:val="0"/>
          <w:numId w:val="1001"/>
        </w:numPr>
        <w:pStyle w:val="Compact"/>
      </w:pPr>
      <w:r>
        <w:rPr>
          <w:bCs/>
          <w:b/>
        </w:rPr>
        <w:t xml:space="preserve">Termination:</w:t>
      </w:r>
      <w:r>
        <w:t xml:space="preserve"> </w:t>
      </w:r>
      <w:r>
        <w:t xml:space="preserve">Either party may terminate this engagement with thirty (30) days' written notice. Upon termination, the Accountant will deliver all completed work product and outstanding filings.</w:t>
      </w:r>
    </w:p>
    <w:p>
      <w:pPr>
        <w:numPr>
          <w:ilvl w:val="0"/>
          <w:numId w:val="1001"/>
        </w:numPr>
        <w:pStyle w:val="Compact"/>
      </w:pPr>
      <w:r>
        <w:rPr>
          <w:bCs/>
          <w:b/>
        </w:rPr>
        <w:t xml:space="preserve">Applicable Law:</w:t>
      </w:r>
      <w:r>
        <w:t xml:space="preserve"> </w:t>
      </w:r>
      <w:r>
        <w:t xml:space="preserve">This Quotation Estimate and the resulting service agreement shall be governed by the laws of the Republic of Colombia, with jurisdiction in the courts of Medellín, Antioquia.</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and authorizes Andina Contabilidad &amp; Asesoría S.A.S. to commence the engagement of the Accountant professional under the terms, conditions, and pricing outlined in this document for services to be performed in Colombia Medellín.</w:t>
      </w:r>
    </w:p>
    <w:p>
      <w:pPr>
        <w:pStyle w:val="BodyText"/>
      </w:pPr>
      <w:r>
        <w:br/>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the Service Provider</w:t>
            </w:r>
          </w:p>
        </w:tc>
        <w:tc>
          <w:tcPr/>
          <w:p>
            <w:pPr>
              <w:pStyle w:val="Compact"/>
              <w:jc w:val="left"/>
            </w:pPr>
            <w:r>
              <w:t xml:space="preserve">For the Client</w:t>
            </w:r>
          </w:p>
        </w:tc>
      </w:tr>
      <w:tr>
        <w:tc>
          <w:tcPr/>
          <w:p>
            <w:pPr>
              <w:jc w:val="left"/>
            </w:pPr>
            <w:r>
              <w:rPr>
                <w:bCs/>
                <w:b/>
              </w:rPr>
              <w:t xml:space="preserve">Name:</w:t>
            </w:r>
            <w:r>
              <w:t xml:space="preserve"> </w:t>
            </w:r>
            <w:r>
              <w:t xml:space="preserve">_________________________</w:t>
            </w:r>
          </w:p>
          <w:p>
            <w:pPr>
              <w:jc w:val="left"/>
            </w:pPr>
            <w:r>
              <w:rPr>
                <w:bCs/>
                <w:b/>
              </w:rPr>
              <w:t xml:space="preserve">Title:</w:t>
            </w:r>
            <w:r>
              <w:t xml:space="preserve"> </w:t>
            </w:r>
            <w:r>
              <w:t xml:space="preserve">Director / Lead Accountant</w:t>
            </w:r>
          </w:p>
          <w:p>
            <w:pPr>
              <w:jc w:val="left"/>
            </w:pPr>
            <w:r>
              <w:rPr>
                <w:bCs/>
                <w:b/>
              </w:rPr>
              <w:t xml:space="preserve">Signature:</w:t>
            </w:r>
            <w:r>
              <w:t xml:space="preserve"> </w:t>
            </w:r>
            <w:r>
              <w:t xml:space="preserve">_________________________</w:t>
            </w:r>
          </w:p>
          <w:p>
            <w:pPr>
              <w:jc w:val="left"/>
            </w:pPr>
            <w:r>
              <w:rPr>
                <w:bCs/>
                <w:b/>
              </w:rPr>
              <w:t xml:space="preserve">Date:</w:t>
            </w:r>
            <w:r>
              <w:t xml:space="preserve"> </w:t>
            </w:r>
            <w:r>
              <w:t xml:space="preserve">_________________________</w:t>
            </w:r>
          </w:p>
        </w:tc>
        <w:tc>
          <w:tcPr/>
          <w:p>
            <w:pPr>
              <w:jc w:val="left"/>
            </w:pPr>
            <w:r>
              <w:rPr>
                <w:bCs/>
                <w:b/>
              </w:rPr>
              <w:t xml:space="preserve">Name:</w:t>
            </w:r>
            <w:r>
              <w:t xml:space="preserve"> </w:t>
            </w:r>
            <w:r>
              <w:t xml:space="preserve">_________________________</w:t>
            </w:r>
          </w:p>
          <w:p>
            <w:pPr>
              <w:jc w:val="left"/>
            </w:pPr>
            <w:r>
              <w:rPr>
                <w:bCs/>
                <w:b/>
              </w:rPr>
              <w:t xml:space="preserve">Title:</w:t>
            </w:r>
            <w:r>
              <w:t xml:space="preserve"> </w:t>
            </w:r>
            <w:r>
              <w:t xml:space="preserve">_________________________</w:t>
            </w:r>
          </w:p>
          <w:p>
            <w:pPr>
              <w:jc w:val="left"/>
            </w:pPr>
            <w:r>
              <w:rPr>
                <w:bCs/>
                <w:b/>
              </w:rPr>
              <w:t xml:space="preserve">Signature:</w:t>
            </w:r>
            <w:r>
              <w:t xml:space="preserve"> </w:t>
            </w:r>
            <w:r>
              <w:t xml:space="preserve">_________________________</w:t>
            </w:r>
          </w:p>
          <w:p>
            <w:pPr>
              <w:jc w:val="left"/>
            </w:pPr>
            <w:r>
              <w:rPr>
                <w:bCs/>
                <w:b/>
              </w:rPr>
              <w:t xml:space="preserve">Date:</w:t>
            </w:r>
            <w:r>
              <w:t xml:space="preserve"> </w:t>
            </w:r>
            <w:r>
              <w:t xml:space="preserve">_________________________</w:t>
            </w:r>
          </w:p>
        </w:tc>
      </w:tr>
    </w:tbl>
    <w:p>
      <w:pPr>
        <w:pStyle w:val="BodyText"/>
      </w:pPr>
      <w:r>
        <w:t xml:space="preserve">Andina Contabilidad &amp; Asesoría S.A.S. | NIT 901.234.567-8 | Medellín, Antioquia, Colombia</w:t>
      </w:r>
    </w:p>
    <w:p>
      <w:pPr>
        <w:pStyle w:val="BodyText"/>
      </w:pPr>
      <w:r>
        <w:t xml:space="preserve">This Quotation Estimate is a commercial document and does not constitute a binding contract until formally accepted by both parties in writing.</w:t>
      </w:r>
    </w:p>
    <w:p>
      <w:pPr>
        <w:pStyle w:val="BodyText"/>
      </w:pPr>
      <w:r>
        <w:t xml:space="preserve">Page 1 of 1 | Document QE-MDE-2025-0472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Colombia Medellín</dc:title>
  <dc:creator/>
  <dc:language>en</dc:language>
  <cp:keywords/>
  <dcterms:created xsi:type="dcterms:W3CDTF">2026-10-10T05:51:36Z</dcterms:created>
  <dcterms:modified xsi:type="dcterms:W3CDTF">2026-10-10T05:51:36Z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