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Democratic Republic of Congo — Kinshasa</w:t>
      </w:r>
    </w:p>
    <w:p>
      <w:pPr>
        <w:pStyle w:val="BodyText"/>
      </w:pPr>
      <w:r>
        <w:t xml:space="preserve">Quotation Reference No: QTE-KIN-2025-0472</w:t>
      </w:r>
    </w:p>
    <w:p>
      <w:pPr>
        <w:pStyle w:val="BodyText"/>
      </w:pPr>
      <w:r>
        <w:t xml:space="preserve">Date of Issue: 15 June 2025</w:t>
      </w:r>
    </w:p>
    <w:p>
      <w:pPr>
        <w:pStyle w:val="BodyText"/>
      </w:pPr>
      <w:r>
        <w:t xml:space="preserve">Validity Period: 30 Calendar Days from Date of Issue</w:t>
      </w:r>
    </w:p>
    <w:bookmarkEnd w:id="20"/>
    <w:bookmarkStart w:id="21" w:name="prepared-by-service-provider"/>
    <w:p>
      <w:pPr>
        <w:pStyle w:val="Heading3"/>
      </w:pPr>
      <w:r>
        <w:t xml:space="preserve">Prepared By (Service Provider)</w:t>
      </w:r>
    </w:p>
    <w:p>
      <w:pPr>
        <w:pStyle w:val="FirstParagraph"/>
      </w:pPr>
      <w:r>
        <w:rPr>
          <w:bCs/>
          <w:b/>
        </w:rPr>
        <w:t xml:space="preserve">Company:</w:t>
      </w:r>
      <w:r>
        <w:t xml:space="preserve"> </w:t>
      </w:r>
      <w:r>
        <w:t xml:space="preserve">Kinshasa Professional Accounting &amp; Advisory Ltd.</w:t>
      </w:r>
    </w:p>
    <w:p>
      <w:pPr>
        <w:pStyle w:val="BodyText"/>
      </w:pPr>
      <w:r>
        <w:rPr>
          <w:bCs/>
          <w:b/>
        </w:rPr>
        <w:t xml:space="preserve">Address:</w:t>
      </w:r>
      <w:r>
        <w:t xml:space="preserve"> </w:t>
      </w:r>
      <w:r>
        <w:t xml:space="preserve">Avenue de la Paix, Immeuble Le Baobab, 3rd Floor, Gombe, Kinshasa, DR Congo</w:t>
      </w:r>
    </w:p>
    <w:p>
      <w:pPr>
        <w:pStyle w:val="BodyText"/>
      </w:pPr>
      <w:r>
        <w:rPr>
          <w:bCs/>
          <w:b/>
        </w:rPr>
        <w:t xml:space="preserve">Phone:</w:t>
      </w:r>
      <w:r>
        <w:t xml:space="preserve"> </w:t>
      </w:r>
      <w:r>
        <w:t xml:space="preserve">+243 810 555 234</w:t>
      </w:r>
    </w:p>
    <w:p>
      <w:pPr>
        <w:pStyle w:val="BodyText"/>
      </w:pPr>
      <w:r>
        <w:rPr>
          <w:bCs/>
          <w:b/>
        </w:rPr>
        <w:t xml:space="preserve">Email:</w:t>
      </w:r>
      <w:r>
        <w:t xml:space="preserve"> </w:t>
      </w:r>
      <w:r>
        <w:t xml:space="preserve">info@kinshasa-accounting.cd</w:t>
      </w:r>
    </w:p>
    <w:p>
      <w:pPr>
        <w:pStyle w:val="BodyText"/>
      </w:pPr>
      <w:r>
        <w:rPr>
          <w:bCs/>
          <w:b/>
        </w:rPr>
        <w:t xml:space="preserve">RC (Registre de Commerce):</w:t>
      </w:r>
      <w:r>
        <w:t xml:space="preserve"> </w:t>
      </w:r>
      <w:r>
        <w:t xml:space="preserve">CD/KIN/2019/B/04521</w:t>
      </w:r>
    </w:p>
    <w:p>
      <w:pPr>
        <w:pStyle w:val="BodyText"/>
      </w:pPr>
      <w:r>
        <w:rPr>
          <w:bCs/>
          <w:b/>
        </w:rPr>
        <w:t xml:space="preserve">NIF (Tax Identification):</w:t>
      </w:r>
      <w:r>
        <w:t xml:space="preserve"> </w:t>
      </w:r>
      <w:r>
        <w:t xml:space="preserve">01-234-567-890</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Kinshasa, DR Congo</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w:t>
      </w:r>
    </w:p>
    <w:p>
      <w:pPr>
        <w:pStyle w:val="BodyText"/>
      </w:pPr>
      <w:r>
        <w:rPr>
          <w:bCs/>
          <w:b/>
        </w:rPr>
        <w:t xml:space="preserve">RC:</w:t>
      </w:r>
      <w:r>
        <w:t xml:space="preserve"> </w:t>
      </w:r>
      <w:r>
        <w:t xml:space="preserve">[Client RC Number]</w:t>
      </w:r>
    </w:p>
    <w:p>
      <w:pPr>
        <w:pStyle w:val="BodyText"/>
      </w:pPr>
      <w:r>
        <w:rPr>
          <w:bCs/>
          <w:b/>
        </w:rPr>
        <w:t xml:space="preserve">NIF:</w:t>
      </w:r>
      <w:r>
        <w:t xml:space="preserve"> </w:t>
      </w:r>
      <w:r>
        <w:t xml:space="preserve">[Client NIF Number]</w:t>
      </w:r>
    </w:p>
    <w:bookmarkEnd w:id="22"/>
    <w:p>
      <w:pPr>
        <w:pStyle w:val="BodyText"/>
      </w:pPr>
      <w:r>
        <w:t xml:space="preserve">1. Purpose of This Quotation Estimate</w:t>
      </w:r>
    </w:p>
    <w:p>
      <w:pPr>
        <w:pStyle w:val="BodyText"/>
      </w:pPr>
      <w:r>
        <w:t xml:space="preserve">This Quotation Estimate is formally issued by Kinshasa Professional Accounting &amp; Advisory Ltd. to provide a comprehensive and transparent breakdown of costs associated with the engagement of a qualified Accountant to deliver full-spectrum financial, tax, and compliance services to the client. This document serves as a binding proposal for the scope of Accountant services to be rendered within the jurisdiction of DR Congo Kinshasa, in full compliance with the regulations established by the Direction Générale des Impôts (DGI), the Office National du Registre de Commerce (ONRC), and the applicable provisions of the Congolese Commercial Code and the Code Général des Impôts of the Democratic Republic of Congo.</w:t>
      </w:r>
    </w:p>
    <w:p>
      <w:pPr>
        <w:pStyle w:val="BodyText"/>
      </w:pPr>
      <w:r>
        <w:t xml:space="preserve">The Accountant services outlined in this Quotation Estimate are specifically tailored to the operational, regulatory, and fiscal environment of DR Congo Kinshasa, where businesses must navigate a complex landscape of local tax obligations, multi-currency reporting requirements, and evolving compliance standards. Our Accountant team possesses deep expertise in the specific accounting frameworks mandated for enterprises operating in Kinshasa and the broader DR Congo market.</w:t>
      </w:r>
    </w:p>
    <w:p>
      <w:pPr>
        <w:pStyle w:val="BodyText"/>
      </w:pPr>
      <w:r>
        <w:t xml:space="preserve">2. Scope of Accountant Services</w:t>
      </w:r>
    </w:p>
    <w:p>
      <w:pPr>
        <w:pStyle w:val="BodyText"/>
      </w:pPr>
      <w:r>
        <w:t xml:space="preserve">The following Accountant services are included within the scope of this Quotation Estimate. Each service is designed to meet the statutory and operational requirements of a business entity registered and operating in DR Congo Kinshasa: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Accountant Service Description</w:t>
            </w:r>
          </w:p>
        </w:tc>
        <w:tc>
          <w:tcPr/>
          <w:p>
            <w:pPr>
              <w:pStyle w:val="Compact"/>
              <w:jc w:val="left"/>
            </w:pPr>
            <w:r>
              <w:t xml:space="preserve">Frequency</w:t>
            </w:r>
          </w:p>
        </w:tc>
        <w:tc>
          <w:tcPr/>
          <w:p>
            <w:pPr>
              <w:pStyle w:val="Compact"/>
              <w:jc w:val="left"/>
            </w:pPr>
            <w:r>
              <w:t xml:space="preserve">Deliverable</w:t>
            </w:r>
          </w:p>
        </w:tc>
        <w:tc>
          <w:tcPr/>
          <w:p>
            <w:pPr>
              <w:pStyle w:val="Compact"/>
              <w:jc w:val="left"/>
            </w:pPr>
            <w:r>
              <w:t xml:space="preserve">Estimated Hours</w:t>
            </w:r>
          </w:p>
        </w:tc>
      </w:tr>
      <w:tr>
        <w:tc>
          <w:tcPr/>
          <w:p>
            <w:pPr>
              <w:pStyle w:val="Compact"/>
              <w:jc w:val="left"/>
            </w:pPr>
            <w:r>
              <w:t xml:space="preserve">1</w:t>
            </w:r>
          </w:p>
        </w:tc>
        <w:tc>
          <w:tcPr/>
          <w:p>
            <w:pPr>
              <w:pStyle w:val="Compact"/>
              <w:jc w:val="left"/>
            </w:pPr>
            <w:r>
              <w:t xml:space="preserve">Monthly bookkeeping and general ledger maintenance in accordance with Congolese accounting standards (PCG) applicable in DR Congo Kinshasa</w:t>
            </w:r>
          </w:p>
        </w:tc>
        <w:tc>
          <w:tcPr/>
          <w:p>
            <w:pPr>
              <w:pStyle w:val="Compact"/>
              <w:jc w:val="left"/>
            </w:pPr>
            <w:r>
              <w:t xml:space="preserve">Monthly</w:t>
            </w:r>
          </w:p>
        </w:tc>
        <w:tc>
          <w:tcPr/>
          <w:p>
            <w:pPr>
              <w:pStyle w:val="Compact"/>
              <w:jc w:val="left"/>
            </w:pPr>
            <w:r>
              <w:t xml:space="preserve">Updated GL &amp; Trial Balance</w:t>
            </w:r>
          </w:p>
        </w:tc>
        <w:tc>
          <w:tcPr/>
          <w:p>
            <w:pPr>
              <w:pStyle w:val="Compact"/>
              <w:jc w:val="left"/>
            </w:pPr>
            <w:r>
              <w:t xml:space="preserve">40 hours</w:t>
            </w:r>
          </w:p>
        </w:tc>
      </w:tr>
      <w:tr>
        <w:tc>
          <w:tcPr/>
          <w:p>
            <w:pPr>
              <w:pStyle w:val="Compact"/>
              <w:jc w:val="left"/>
            </w:pPr>
            <w:r>
              <w:t xml:space="preserve">2</w:t>
            </w:r>
          </w:p>
        </w:tc>
        <w:tc>
          <w:tcPr/>
          <w:p>
            <w:pPr>
              <w:pStyle w:val="Compact"/>
              <w:jc w:val="left"/>
            </w:pPr>
            <w:r>
              <w:t xml:space="preserve">Preparation and filing of monthly VAT (TVA) declarations with the DGI in Kinshasa, including reconciliation of input and output tax</w:t>
            </w:r>
          </w:p>
        </w:tc>
        <w:tc>
          <w:tcPr/>
          <w:p>
            <w:pPr>
              <w:pStyle w:val="Compact"/>
              <w:jc w:val="left"/>
            </w:pPr>
            <w:r>
              <w:t xml:space="preserve">Monthly</w:t>
            </w:r>
          </w:p>
        </w:tc>
        <w:tc>
          <w:tcPr/>
          <w:p>
            <w:pPr>
              <w:pStyle w:val="Compact"/>
              <w:jc w:val="left"/>
            </w:pPr>
            <w:r>
              <w:t xml:space="preserve">TVA Declaration &amp; Filing Receipt</w:t>
            </w:r>
          </w:p>
        </w:tc>
        <w:tc>
          <w:tcPr/>
          <w:p>
            <w:pPr>
              <w:pStyle w:val="Compact"/>
              <w:jc w:val="left"/>
            </w:pPr>
            <w:r>
              <w:t xml:space="preserve">16 hours</w:t>
            </w:r>
          </w:p>
        </w:tc>
      </w:tr>
      <w:tr>
        <w:tc>
          <w:tcPr/>
          <w:p>
            <w:pPr>
              <w:pStyle w:val="Compact"/>
              <w:jc w:val="left"/>
            </w:pPr>
            <w:r>
              <w:t xml:space="preserve">3</w:t>
            </w:r>
          </w:p>
        </w:tc>
        <w:tc>
          <w:tcPr/>
          <w:p>
            <w:pPr>
              <w:pStyle w:val="Compact"/>
              <w:jc w:val="left"/>
            </w:pPr>
            <w:r>
              <w:t xml:space="preserve">Preparation of monthly payroll processing, withholding tax (IRPP) calculations, and social security contributions (CNSS) filings for all employees</w:t>
            </w:r>
          </w:p>
        </w:tc>
        <w:tc>
          <w:tcPr/>
          <w:p>
            <w:pPr>
              <w:pStyle w:val="Compact"/>
              <w:jc w:val="left"/>
            </w:pPr>
            <w:r>
              <w:t xml:space="preserve">Monthly</w:t>
            </w:r>
          </w:p>
        </w:tc>
        <w:tc>
          <w:tcPr/>
          <w:p>
            <w:pPr>
              <w:pStyle w:val="Compact"/>
              <w:jc w:val="left"/>
            </w:pPr>
            <w:r>
              <w:t xml:space="preserve">Payroll Register &amp; CNSS Filings</w:t>
            </w:r>
          </w:p>
        </w:tc>
        <w:tc>
          <w:tcPr/>
          <w:p>
            <w:pPr>
              <w:pStyle w:val="Compact"/>
              <w:jc w:val="left"/>
            </w:pPr>
            <w:r>
              <w:t xml:space="preserve">24 hours</w:t>
            </w:r>
          </w:p>
        </w:tc>
      </w:tr>
      <w:tr>
        <w:tc>
          <w:tcPr/>
          <w:p>
            <w:pPr>
              <w:pStyle w:val="Compact"/>
              <w:jc w:val="left"/>
            </w:pPr>
            <w:r>
              <w:t xml:space="preserve">4</w:t>
            </w:r>
          </w:p>
        </w:tc>
        <w:tc>
          <w:tcPr/>
          <w:p>
            <w:pPr>
              <w:pStyle w:val="Compact"/>
              <w:jc w:val="left"/>
            </w:pPr>
            <w:r>
              <w:t xml:space="preserve">Quarterly preparation of interim financial statements (balance sheet, income statement, cash flow) for management review</w:t>
            </w:r>
          </w:p>
        </w:tc>
        <w:tc>
          <w:tcPr/>
          <w:p>
            <w:pPr>
              <w:pStyle w:val="Compact"/>
              <w:jc w:val="left"/>
            </w:pPr>
            <w:r>
              <w:t xml:space="preserve">Quarterly</w:t>
            </w:r>
          </w:p>
        </w:tc>
        <w:tc>
          <w:tcPr/>
          <w:p>
            <w:pPr>
              <w:pStyle w:val="Compact"/>
              <w:jc w:val="left"/>
            </w:pPr>
            <w:r>
              <w:t xml:space="preserve">Interim Financial Statements</w:t>
            </w:r>
          </w:p>
        </w:tc>
        <w:tc>
          <w:tcPr/>
          <w:p>
            <w:pPr>
              <w:pStyle w:val="Compact"/>
              <w:jc w:val="left"/>
            </w:pPr>
            <w:r>
              <w:t xml:space="preserve">32 hours</w:t>
            </w:r>
          </w:p>
        </w:tc>
      </w:tr>
      <w:tr>
        <w:tc>
          <w:tcPr/>
          <w:p>
            <w:pPr>
              <w:pStyle w:val="Compact"/>
              <w:jc w:val="left"/>
            </w:pPr>
            <w:r>
              <w:t xml:space="preserve">5</w:t>
            </w:r>
          </w:p>
        </w:tc>
        <w:tc>
          <w:tcPr/>
          <w:p>
            <w:pPr>
              <w:pStyle w:val="Compact"/>
              <w:jc w:val="left"/>
            </w:pPr>
            <w:r>
              <w:t xml:space="preserve">Annual preparation of statutory financial statements and annual tax return (Déclaration Annuelle) for submission to the DGI in DR Congo Kinshasa</w:t>
            </w:r>
          </w:p>
        </w:tc>
        <w:tc>
          <w:tcPr/>
          <w:p>
            <w:pPr>
              <w:pStyle w:val="Compact"/>
              <w:jc w:val="left"/>
            </w:pPr>
            <w:r>
              <w:t xml:space="preserve">Annually</w:t>
            </w:r>
          </w:p>
        </w:tc>
        <w:tc>
          <w:tcPr/>
          <w:p>
            <w:pPr>
              <w:pStyle w:val="Compact"/>
              <w:jc w:val="left"/>
            </w:pPr>
            <w:r>
              <w:t xml:space="preserve">Annual Financials &amp; Tax Return</w:t>
            </w:r>
          </w:p>
        </w:tc>
        <w:tc>
          <w:tcPr/>
          <w:p>
            <w:pPr>
              <w:pStyle w:val="Compact"/>
              <w:jc w:val="left"/>
            </w:pPr>
            <w:r>
              <w:t xml:space="preserve">80 hours</w:t>
            </w:r>
          </w:p>
        </w:tc>
      </w:tr>
      <w:tr>
        <w:tc>
          <w:tcPr/>
          <w:p>
            <w:pPr>
              <w:pStyle w:val="Compact"/>
              <w:jc w:val="left"/>
            </w:pPr>
            <w:r>
              <w:t xml:space="preserve">6</w:t>
            </w:r>
          </w:p>
        </w:tc>
        <w:tc>
          <w:tcPr/>
          <w:p>
            <w:pPr>
              <w:pStyle w:val="Compact"/>
              <w:jc w:val="left"/>
            </w:pPr>
            <w:r>
              <w:t xml:space="preserve">Advisory services on corporate tax planning, transfer pricing documentation, and compliance with the Congolese tax code as amended</w:t>
            </w:r>
          </w:p>
        </w:tc>
        <w:tc>
          <w:tcPr/>
          <w:p>
            <w:pPr>
              <w:pStyle w:val="Compact"/>
              <w:jc w:val="left"/>
            </w:pPr>
            <w:r>
              <w:t xml:space="preserve">As needed</w:t>
            </w:r>
          </w:p>
        </w:tc>
        <w:tc>
          <w:tcPr/>
          <w:p>
            <w:pPr>
              <w:pStyle w:val="Compact"/>
              <w:jc w:val="left"/>
            </w:pPr>
            <w:r>
              <w:t xml:space="preserve">Advisory Memorandum</w:t>
            </w:r>
          </w:p>
        </w:tc>
        <w:tc>
          <w:tcPr/>
          <w:p>
            <w:pPr>
              <w:pStyle w:val="Compact"/>
              <w:jc w:val="left"/>
            </w:pPr>
            <w:r>
              <w:t xml:space="preserve">20 hours</w:t>
            </w:r>
          </w:p>
        </w:tc>
      </w:tr>
      <w:tr>
        <w:tc>
          <w:tcPr/>
          <w:p>
            <w:pPr>
              <w:pStyle w:val="Compact"/>
              <w:jc w:val="left"/>
            </w:pPr>
            <w:r>
              <w:t xml:space="preserve">7</w:t>
            </w:r>
          </w:p>
        </w:tc>
        <w:tc>
          <w:tcPr/>
          <w:p>
            <w:pPr>
              <w:pStyle w:val="Compact"/>
              <w:jc w:val="left"/>
            </w:pPr>
            <w:r>
              <w:t xml:space="preserve">Assistance with ONRC annual registration renewal, business license maintenance, and regulatory filings specific to Kinshasa</w:t>
            </w:r>
          </w:p>
        </w:tc>
        <w:tc>
          <w:tcPr/>
          <w:p>
            <w:pPr>
              <w:pStyle w:val="Compact"/>
              <w:jc w:val="left"/>
            </w:pPr>
            <w:r>
              <w:t xml:space="preserve">Annually</w:t>
            </w:r>
          </w:p>
        </w:tc>
        <w:tc>
          <w:tcPr/>
          <w:p>
            <w:pPr>
              <w:pStyle w:val="Compact"/>
              <w:jc w:val="left"/>
            </w:pPr>
            <w:r>
              <w:t xml:space="preserve">Compliance Certificate</w:t>
            </w:r>
          </w:p>
        </w:tc>
        <w:tc>
          <w:tcPr/>
          <w:p>
            <w:pPr>
              <w:pStyle w:val="Compact"/>
              <w:jc w:val="left"/>
            </w:pPr>
            <w:r>
              <w:t xml:space="preserve">12 hours</w:t>
            </w:r>
          </w:p>
        </w:tc>
      </w:tr>
      <w:tr>
        <w:tc>
          <w:tcPr/>
          <w:p>
            <w:pPr>
              <w:pStyle w:val="Compact"/>
              <w:jc w:val="left"/>
            </w:pPr>
            <w:r>
              <w:t xml:space="preserve">8</w:t>
            </w:r>
          </w:p>
        </w:tc>
        <w:tc>
          <w:tcPr/>
          <w:p>
            <w:pPr>
              <w:pStyle w:val="Compact"/>
              <w:jc w:val="left"/>
            </w:pPr>
            <w:r>
              <w:t xml:space="preserve">Reconciliation of bank accounts (multi-currency: CDF, USD, EUR) and management of foreign exchange reporting obligations</w:t>
            </w:r>
          </w:p>
        </w:tc>
        <w:tc>
          <w:tcPr/>
          <w:p>
            <w:pPr>
              <w:pStyle w:val="Compact"/>
              <w:jc w:val="left"/>
            </w:pPr>
            <w:r>
              <w:t xml:space="preserve">Monthly</w:t>
            </w:r>
          </w:p>
        </w:tc>
        <w:tc>
          <w:tcPr/>
          <w:p>
            <w:pPr>
              <w:pStyle w:val="Compact"/>
              <w:jc w:val="left"/>
            </w:pPr>
            <w:r>
              <w:t xml:space="preserve">Bank Reconciliation Report</w:t>
            </w:r>
          </w:p>
        </w:tc>
        <w:tc>
          <w:tcPr/>
          <w:p>
            <w:pPr>
              <w:pStyle w:val="Compact"/>
              <w:jc w:val="left"/>
            </w:pPr>
            <w:r>
              <w:t xml:space="preserve">16 hours</w:t>
            </w:r>
          </w:p>
        </w:tc>
      </w:tr>
    </w:tbl>
    <w:p>
      <w:pPr>
        <w:pStyle w:val="BodyText"/>
      </w:pPr>
      <w:r>
        <w:t xml:space="preserve">3. Financial Breakdown of This Quotation Estimate</w:t>
      </w:r>
    </w:p>
    <w:p>
      <w:pPr>
        <w:pStyle w:val="BodyText"/>
      </w:pPr>
      <w:r>
        <w:t xml:space="preserve">The following pricing structure constitutes the complete financial component of this Quotation Estimate. All amounts are quoted in Congolese Francs (CDF) unless otherwise stated, reflecting the prevailing exchange rates in DR Congo Kinshasa at the time of issuance.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Line Item</w:t>
            </w:r>
          </w:p>
        </w:tc>
        <w:tc>
          <w:tcPr/>
          <w:p>
            <w:pPr>
              <w:pStyle w:val="Compact"/>
              <w:jc w:val="left"/>
            </w:pPr>
            <w:r>
              <w:t xml:space="preserve">Unit Rate (CDF)</w:t>
            </w:r>
          </w:p>
        </w:tc>
        <w:tc>
          <w:tcPr/>
          <w:p>
            <w:pPr>
              <w:pStyle w:val="Compact"/>
              <w:jc w:val="left"/>
            </w:pPr>
            <w:r>
              <w:t xml:space="preserve">Quantity</w:t>
            </w:r>
          </w:p>
        </w:tc>
        <w:tc>
          <w:tcPr/>
          <w:p>
            <w:pPr>
              <w:pStyle w:val="Compact"/>
              <w:jc w:val="left"/>
            </w:pPr>
            <w:r>
              <w:t xml:space="preserve">Subtotal (CDF)</w:t>
            </w:r>
          </w:p>
        </w:tc>
      </w:tr>
      <w:tr>
        <w:tc>
          <w:tcPr/>
          <w:p>
            <w:pPr>
              <w:pStyle w:val="Compact"/>
              <w:jc w:val="left"/>
            </w:pPr>
            <w:r>
              <w:t xml:space="preserve">1</w:t>
            </w:r>
          </w:p>
        </w:tc>
        <w:tc>
          <w:tcPr/>
          <w:p>
            <w:pPr>
              <w:pStyle w:val="Compact"/>
              <w:jc w:val="left"/>
            </w:pPr>
            <w:r>
              <w:t xml:space="preserve">Monthly Bookkeeping &amp; General Ledger (Accountant)</w:t>
            </w:r>
          </w:p>
        </w:tc>
        <w:tc>
          <w:tcPr/>
          <w:p>
            <w:pPr>
              <w:pStyle w:val="Compact"/>
              <w:jc w:val="left"/>
            </w:pPr>
            <w:r>
              <w:t xml:space="preserve">1,200,000</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Monthly VAT (TVA) Filing &amp; Compliance (Accountant)</w:t>
            </w:r>
          </w:p>
        </w:tc>
        <w:tc>
          <w:tcPr/>
          <w:p>
            <w:pPr>
              <w:pStyle w:val="Compact"/>
              <w:jc w:val="left"/>
            </w:pPr>
            <w:r>
              <w:t xml:space="preserve">480,000</w:t>
            </w:r>
          </w:p>
        </w:tc>
        <w:tc>
          <w:tcPr/>
          <w:p>
            <w:pPr>
              <w:pStyle w:val="Compact"/>
              <w:jc w:val="left"/>
            </w:pPr>
            <w:r>
              <w:t xml:space="preserve">12 months</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Monthly Payroll &amp; CNSS Processing (Accountant)</w:t>
            </w:r>
          </w:p>
        </w:tc>
        <w:tc>
          <w:tcPr/>
          <w:p>
            <w:pPr>
              <w:pStyle w:val="Compact"/>
              <w:jc w:val="left"/>
            </w:pPr>
            <w:r>
              <w:t xml:space="preserve">720,000</w:t>
            </w:r>
          </w:p>
        </w:tc>
        <w:tc>
          <w:tcPr/>
          <w:p>
            <w:pPr>
              <w:pStyle w:val="Compact"/>
              <w:jc w:val="left"/>
            </w:pPr>
            <w:r>
              <w:t xml:space="preserve">12 months</w:t>
            </w:r>
          </w:p>
        </w:tc>
        <w:tc>
          <w:tcPr/>
          <w:p>
            <w:pPr>
              <w:pStyle w:val="Compact"/>
              <w:jc w:val="left"/>
            </w:pPr>
            <w:r>
              <w:t xml:space="preserve">8,640,000</w:t>
            </w:r>
          </w:p>
        </w:tc>
      </w:tr>
      <w:tr>
        <w:tc>
          <w:tcPr/>
          <w:p>
            <w:pPr>
              <w:pStyle w:val="Compact"/>
              <w:jc w:val="left"/>
            </w:pPr>
            <w:r>
              <w:t xml:space="preserve">4</w:t>
            </w:r>
          </w:p>
        </w:tc>
        <w:tc>
          <w:tcPr/>
          <w:p>
            <w:pPr>
              <w:pStyle w:val="Compact"/>
              <w:jc w:val="left"/>
            </w:pPr>
            <w:r>
              <w:t xml:space="preserve">Quarterly Interim Financial Statements (Accountant)</w:t>
            </w:r>
          </w:p>
        </w:tc>
        <w:tc>
          <w:tcPr/>
          <w:p>
            <w:pPr>
              <w:pStyle w:val="Compact"/>
              <w:jc w:val="left"/>
            </w:pPr>
            <w:r>
              <w:t xml:space="preserve">2,400,000</w:t>
            </w:r>
          </w:p>
        </w:tc>
        <w:tc>
          <w:tcPr/>
          <w:p>
            <w:pPr>
              <w:pStyle w:val="Compact"/>
              <w:jc w:val="left"/>
            </w:pPr>
            <w:r>
              <w:t xml:space="preserve">4 quarters</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Annual Statutory Financials &amp; Tax Return (Accountant)</w:t>
            </w:r>
          </w:p>
        </w:tc>
        <w:tc>
          <w:tcPr/>
          <w:p>
            <w:pPr>
              <w:pStyle w:val="Compact"/>
              <w:jc w:val="left"/>
            </w:pPr>
            <w:r>
              <w:t xml:space="preserve">6,000,000</w:t>
            </w:r>
          </w:p>
        </w:tc>
        <w:tc>
          <w:tcPr/>
          <w:p>
            <w:pPr>
              <w:pStyle w:val="Compact"/>
              <w:jc w:val="left"/>
            </w:pPr>
            <w:r>
              <w:t xml:space="preserve">1 year</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Tax Planning &amp; Advisory (Accountant)</w:t>
            </w:r>
          </w:p>
        </w:tc>
        <w:tc>
          <w:tcPr/>
          <w:p>
            <w:pPr>
              <w:pStyle w:val="Compact"/>
              <w:jc w:val="left"/>
            </w:pPr>
            <w:r>
              <w:t xml:space="preserve">1,500,000</w:t>
            </w:r>
          </w:p>
        </w:tc>
        <w:tc>
          <w:tcPr/>
          <w:p>
            <w:pPr>
              <w:pStyle w:val="Compact"/>
              <w:jc w:val="left"/>
            </w:pPr>
            <w:r>
              <w:t xml:space="preserve">1 year</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ONRC &amp; Regulatory Compliance (Accountant)</w:t>
            </w:r>
          </w:p>
        </w:tc>
        <w:tc>
          <w:tcPr/>
          <w:p>
            <w:pPr>
              <w:pStyle w:val="Compact"/>
              <w:jc w:val="left"/>
            </w:pPr>
            <w:r>
              <w:t xml:space="preserve">900,000</w:t>
            </w:r>
          </w:p>
        </w:tc>
        <w:tc>
          <w:tcPr/>
          <w:p>
            <w:pPr>
              <w:pStyle w:val="Compact"/>
              <w:jc w:val="left"/>
            </w:pPr>
            <w:r>
              <w:t xml:space="preserve">1 year</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Bank Reconciliation &amp; FX Reporting (Accountant)</w:t>
            </w:r>
          </w:p>
        </w:tc>
        <w:tc>
          <w:tcPr/>
          <w:p>
            <w:pPr>
              <w:pStyle w:val="Compact"/>
              <w:jc w:val="left"/>
            </w:pPr>
            <w:r>
              <w:t xml:space="preserve">480,000</w:t>
            </w:r>
          </w:p>
        </w:tc>
        <w:tc>
          <w:tcPr/>
          <w:p>
            <w:pPr>
              <w:pStyle w:val="Compact"/>
              <w:jc w:val="left"/>
            </w:pPr>
            <w:r>
              <w:t xml:space="preserve">12 months</w:t>
            </w:r>
          </w:p>
        </w:tc>
        <w:tc>
          <w:tcPr/>
          <w:p>
            <w:pPr>
              <w:pStyle w:val="Compact"/>
              <w:jc w:val="left"/>
            </w:pPr>
            <w:r>
              <w:t xml:space="preserve">5,760,000</w:t>
            </w:r>
          </w:p>
        </w:tc>
      </w:tr>
      <w:tr>
        <w:tc>
          <w:tcPr>
            <w:gridSpan w:val="4"/>
          </w:tcPr>
          <w:p>
            <w:pPr>
              <w:pStyle w:val="Compact"/>
              <w:jc w:val="left"/>
            </w:pPr>
            <w:r>
              <w:t xml:space="preserve">Subtotal (Excluding Taxes)</w:t>
            </w:r>
          </w:p>
        </w:tc>
        <w:tc>
          <w:tcPr/>
          <w:p>
            <w:pPr>
              <w:pStyle w:val="Compact"/>
              <w:jc w:val="left"/>
            </w:pPr>
            <w:r>
              <w:t xml:space="preserve">52,560,000 CDF</w:t>
            </w:r>
          </w:p>
        </w:tc>
      </w:tr>
      <w:tr>
        <w:tc>
          <w:tcPr>
            <w:gridSpan w:val="4"/>
          </w:tcPr>
          <w:p>
            <w:pPr>
              <w:pStyle w:val="Compact"/>
              <w:jc w:val="left"/>
            </w:pPr>
            <w:r>
              <w:t xml:space="preserve">TVA (16%) Applicable in DR Congo Kinshasa</w:t>
            </w:r>
          </w:p>
        </w:tc>
        <w:tc>
          <w:tcPr/>
          <w:p>
            <w:pPr>
              <w:pStyle w:val="Compact"/>
              <w:jc w:val="left"/>
            </w:pPr>
            <w:r>
              <w:t xml:space="preserve">8,409,600 CDF</w:t>
            </w:r>
          </w:p>
        </w:tc>
      </w:tr>
      <w:tr>
        <w:tc>
          <w:tcPr>
            <w:gridSpan w:val="4"/>
          </w:tcPr>
          <w:p>
            <w:pPr>
              <w:pStyle w:val="Compact"/>
              <w:jc w:val="left"/>
            </w:pPr>
            <w:r>
              <w:rPr>
                <w:bCs/>
                <w:b/>
              </w:rPr>
              <w:t xml:space="preserve">TOTAL AMOUNT DUE (Including TVA)</w:t>
            </w:r>
          </w:p>
        </w:tc>
        <w:tc>
          <w:tcPr/>
          <w:p>
            <w:pPr>
              <w:pStyle w:val="Compact"/>
              <w:jc w:val="left"/>
            </w:pPr>
            <w:r>
              <w:rPr>
                <w:bCs/>
                <w:b/>
              </w:rPr>
              <w:t xml:space="preserve">60,969,600 CDF</w:t>
            </w:r>
          </w:p>
        </w:tc>
      </w:tr>
    </w:tbl>
    <w:p>
      <w:pPr>
        <w:pStyle w:val="BodyText"/>
      </w:pPr>
      <w:r>
        <w:rPr>
          <w:bCs/>
          <w:b/>
        </w:rPr>
        <w:t xml:space="preserve">Important Note:</w:t>
      </w:r>
      <w:r>
        <w:t xml:space="preserve"> </w:t>
      </w:r>
      <w:r>
        <w:t xml:space="preserve">This Quotation Estimate is valid for a period of thirty (30) calendar days from the date of issue. Given the volatility of the exchange rate in DR Congo Kinshasa, should the client wish to accept this Quotation Estimate beyond the validity period, the Accountant service fees may be subject to revision to reflect current market conditions and regulatory changes. All payments are to be made via bank transfer to the account of Kinshasa Professional Accounting &amp; Advisory Ltd. at a licensed commercial bank in Kinshasa.</w:t>
      </w:r>
    </w:p>
    <w:p>
      <w:pPr>
        <w:pStyle w:val="BodyText"/>
      </w:pPr>
      <w:r>
        <w:t xml:space="preserve">4. Terms and Conditions of This Quotation Estimate</w:t>
      </w:r>
    </w:p>
    <w:p>
      <w:pPr>
        <w:numPr>
          <w:ilvl w:val="0"/>
          <w:numId w:val="1001"/>
        </w:numPr>
        <w:pStyle w:val="Compact"/>
      </w:pPr>
      <w:r>
        <w:rPr>
          <w:bCs/>
          <w:b/>
        </w:rPr>
        <w:t xml:space="preserve">Payment Terms:</w:t>
      </w:r>
      <w:r>
        <w:t xml:space="preserve"> </w:t>
      </w:r>
      <w:r>
        <w:t xml:space="preserve">The total amount specified in this Quotation Estimate shall be payable in twelve (12) equal monthly installments, with the first payment due within fifteen (15) days of the client's written acceptance of this Quotation Estimate. Late payments shall incur a penalty of 2% per month, in accordance with commercial practice in DR Congo Kinshasa.</w:t>
      </w:r>
    </w:p>
    <w:p>
      <w:pPr>
        <w:numPr>
          <w:ilvl w:val="0"/>
          <w:numId w:val="1001"/>
        </w:numPr>
        <w:pStyle w:val="Compact"/>
      </w:pPr>
      <w:r>
        <w:rPr>
          <w:bCs/>
          <w:b/>
        </w:rPr>
        <w:t xml:space="preserve">Accountant Engagement:</w:t>
      </w:r>
      <w:r>
        <w:t xml:space="preserve"> </w:t>
      </w:r>
      <w:r>
        <w:t xml:space="preserve">The designated Accountant shall be a certified professional registered with the Ordre des Experts-Comptables et Comptables Agrées (OECCA) of DR Congo. The Accountant shall devote a minimum of 200 hours per month to the client's affairs in Kinshasa.</w:t>
      </w:r>
    </w:p>
    <w:p>
      <w:pPr>
        <w:numPr>
          <w:ilvl w:val="0"/>
          <w:numId w:val="1001"/>
        </w:numPr>
        <w:pStyle w:val="Compact"/>
      </w:pPr>
      <w:r>
        <w:rPr>
          <w:bCs/>
          <w:b/>
        </w:rPr>
        <w:t xml:space="preserve">Client Obligations:</w:t>
      </w:r>
      <w:r>
        <w:t xml:space="preserve"> </w:t>
      </w:r>
      <w:r>
        <w:t xml:space="preserve">The client shall provide all necessary source documents, bank statements, invoices, and supporting records to the Accountant within five (5) business days of the end of each reporting period. Failure to provide timely documentation may result in delays in the delivery of Accountant services.</w:t>
      </w:r>
    </w:p>
    <w:p>
      <w:pPr>
        <w:numPr>
          <w:ilvl w:val="0"/>
          <w:numId w:val="1001"/>
        </w:numPr>
        <w:pStyle w:val="Compact"/>
      </w:pPr>
      <w:r>
        <w:rPr>
          <w:bCs/>
          <w:b/>
        </w:rPr>
        <w:t xml:space="preserve">Confidentiality:</w:t>
      </w:r>
      <w:r>
        <w:t xml:space="preserve"> </w:t>
      </w:r>
      <w:r>
        <w:t xml:space="preserve">The Accountant and all personnel of Kinshasa Professional Accounting &amp; Advisory Ltd. shall maintain strict confidentiality regarding all financial information, trade secrets, and proprietary data of the client, in compliance with the professional ethics code applicable in DR Congo Kinshasa.</w:t>
      </w:r>
    </w:p>
    <w:p>
      <w:pPr>
        <w:numPr>
          <w:ilvl w:val="0"/>
          <w:numId w:val="1001"/>
        </w:numPr>
        <w:pStyle w:val="Compact"/>
      </w:pPr>
      <w:r>
        <w:rPr>
          <w:bCs/>
          <w:b/>
        </w:rPr>
        <w:t xml:space="preserve">Liability:</w:t>
      </w:r>
      <w:r>
        <w:t xml:space="preserve"> </w:t>
      </w:r>
      <w:r>
        <w:t xml:space="preserve">The Accountant shall exercise reasonable professional care and diligence. However, the Accountant shall not be held liable for penalties or fines imposed by the DGI or other regulatory bodies in DR Congo Kinshasa resulting from the client's failure to provide accurate or complete information.</w:t>
      </w:r>
    </w:p>
    <w:p>
      <w:pPr>
        <w:numPr>
          <w:ilvl w:val="0"/>
          <w:numId w:val="1001"/>
        </w:numPr>
        <w:pStyle w:val="Compact"/>
      </w:pPr>
      <w:r>
        <w:rPr>
          <w:bCs/>
          <w:b/>
        </w:rPr>
        <w:t xml:space="preserve">Termination:</w:t>
      </w:r>
      <w:r>
        <w:t xml:space="preserve"> </w:t>
      </w:r>
      <w:r>
        <w:t xml:space="preserve">Either party may terminate the engagement by providing sixty (60) days' written notice. Upon termination, the Accountant shall deliver all work-in-progress and final deliverables to the client.</w:t>
      </w:r>
    </w:p>
    <w:p>
      <w:pPr>
        <w:numPr>
          <w:ilvl w:val="0"/>
          <w:numId w:val="1001"/>
        </w:numPr>
        <w:pStyle w:val="Compact"/>
      </w:pPr>
      <w:r>
        <w:rPr>
          <w:bCs/>
          <w:b/>
        </w:rPr>
        <w:t xml:space="preserve">Governing Law:</w:t>
      </w:r>
      <w:r>
        <w:t xml:space="preserve"> </w:t>
      </w:r>
      <w:r>
        <w:t xml:space="preserve">This Quotation Estimate and the resulting engagement shall be governed by and construed in accordance with the laws of the Democratic Republic of Congo. Any disputes shall be resolved through the competent courts of Kinshasa, DR Congo.</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civil unrest, government-imposed restrictions, or natural disasters affecting DR Congo Kinshasa.</w:t>
      </w:r>
    </w:p>
    <w:p>
      <w:pPr>
        <w:pStyle w:val="FirstParagraph"/>
      </w:pPr>
      <w:r>
        <w:t xml:space="preserve">5. Acceptance of This Quotation Estimate</w:t>
      </w:r>
    </w:p>
    <w:p>
      <w:pPr>
        <w:pStyle w:val="BodyText"/>
      </w:pPr>
      <w:r>
        <w:t xml:space="preserve">By signing below, the client acknowledges receipt of this Quotation Estimate and agrees to the scope of Accountant services, the financial terms, and the conditions outlined herein. This Quotation Estimate shall constitute a binding agreement between the parties upon countersignature by both the Accountant service provider and the client.</w:t>
      </w:r>
    </w:p>
    <w:p>
      <w:pPr>
        <w:pStyle w:val="BodyText"/>
      </w:pPr>
      <w:r>
        <w:rPr>
          <w:bCs/>
          <w:b/>
        </w:rPr>
        <w:t xml:space="preserve">For: Kinshasa Professional Accounting &amp; Advisory Ltd.</w:t>
      </w:r>
    </w:p>
    <w:p>
      <w:pPr>
        <w:pStyle w:val="BodyText"/>
      </w:pPr>
      <w:r>
        <w:t xml:space="preserve">(Accountant Service Provider)</w:t>
      </w:r>
    </w:p>
    <w:p>
      <w:pPr>
        <w:pStyle w:val="BodyText"/>
      </w:pPr>
      <w:r>
        <w:t xml:space="preserve">Name: ______________________________</w:t>
      </w:r>
      <w:r>
        <w:br/>
      </w:r>
      <w:r>
        <w:t xml:space="preserve">Title: Lead Accountant / Managing Director</w:t>
      </w:r>
      <w:r>
        <w:br/>
      </w:r>
      <w:r>
        <w:t xml:space="preserve">Signature &amp; Company Stamp</w:t>
      </w:r>
      <w:r>
        <w:br/>
      </w:r>
      <w:r>
        <w:t xml:space="preserve">Date: ______________________________</w:t>
      </w:r>
    </w:p>
    <w:p>
      <w:pPr>
        <w:pStyle w:val="BodyText"/>
      </w:pPr>
      <w:r>
        <w:rPr>
          <w:bCs/>
          <w:b/>
        </w:rPr>
        <w:t xml:space="preserve">For: [Client Company Name]</w:t>
      </w:r>
    </w:p>
    <w:p>
      <w:pPr>
        <w:pStyle w:val="BodyText"/>
      </w:pPr>
      <w:r>
        <w:t xml:space="preserve">(Client)</w:t>
      </w:r>
    </w:p>
    <w:p>
      <w:pPr>
        <w:pStyle w:val="BodyText"/>
      </w:pPr>
      <w:r>
        <w:t xml:space="preserve">Name: ______________________________</w:t>
      </w:r>
      <w:r>
        <w:br/>
      </w:r>
      <w:r>
        <w:t xml:space="preserve">Title: ______________________________</w:t>
      </w:r>
      <w:r>
        <w:br/>
      </w:r>
      <w:r>
        <w:t xml:space="preserve">Signature &amp; Company Stamp</w:t>
      </w:r>
      <w:r>
        <w:br/>
      </w:r>
      <w:r>
        <w:t xml:space="preserve">Date: ______________________________</w:t>
      </w:r>
    </w:p>
    <w:p>
      <w:pPr>
        <w:pStyle w:val="BodyText"/>
      </w:pPr>
      <w:r>
        <w:t xml:space="preserve">This Quotation Estimate was prepared exclusively for the client named above and is not transferable. © 2025 Kinshasa Professional Accounting &amp; Advisory Ltd. — DR Congo Kinshasa. All rights reserved.</w:t>
      </w:r>
    </w:p>
    <w:p>
      <w:pPr>
        <w:pStyle w:val="BodyText"/>
      </w:pPr>
      <w:r>
        <w:t xml:space="preserve">Document Reference: QTE-KIN-2025-0472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DR Congo Kinshasa</dc:title>
  <dc:creator/>
  <dc:language>en</dc:language>
  <cp:keywords/>
  <dcterms:created xsi:type="dcterms:W3CDTF">2026-10-10T06:10:28Z</dcterms:created>
  <dcterms:modified xsi:type="dcterms:W3CDTF">2026-10-10T06:10:28Z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