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Accountant Services | Egypt Alexandria</w:t>
      </w:r>
    </w:p>
    <w:p>
      <w:pPr>
        <w:pStyle w:val="BodyText"/>
      </w:pPr>
      <w:r>
        <w:t xml:space="preserve">Document No: QE-ALX-2025-0472</w:t>
      </w:r>
    </w:p>
    <w:bookmarkEnd w:id="20"/>
    <w:p>
      <w:pPr>
        <w:pStyle w:val="BodyText"/>
      </w:pPr>
      <w:r>
        <w:rPr>
          <w:bCs/>
          <w:b/>
        </w:rPr>
        <w:t xml:space="preserve">Prepared By:</w:t>
      </w:r>
      <w:r>
        <w:br/>
      </w:r>
      <w:r>
        <w:t xml:space="preserve">Nile Delta Accounting &amp; Financial Services</w:t>
      </w:r>
      <w:r>
        <w:br/>
      </w:r>
      <w:r>
        <w:t xml:space="preserve">42 Corniche El-Nil Street, Smouha District</w:t>
      </w:r>
      <w:r>
        <w:br/>
      </w:r>
      <w:r>
        <w:t xml:space="preserve">Alexandria, Egypt – 21543</w:t>
      </w:r>
      <w:r>
        <w:br/>
      </w:r>
      <w:r>
        <w:t xml:space="preserve">Tel: +20 3 555 1234 | Email: info@niledelta-alex.com</w:t>
      </w:r>
      <w:r>
        <w:br/>
      </w:r>
      <w:r>
        <w:t xml:space="preserve">Commercial Reg. No: 88421 | Tax ID: 552-104-783</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Mediterranean Trading &amp; Logistics Co.</w:t>
      </w:r>
      <w:r>
        <w:br/>
      </w:r>
      <w:r>
        <w:t xml:space="preserve">18 El-Montazah Road, Alexandria, Egypt</w:t>
      </w:r>
      <w:r>
        <w:br/>
      </w:r>
      <w:r>
        <w:t xml:space="preserve">Contact: Mr. Ahmed El-Sayed</w:t>
      </w:r>
      <w:r>
        <w:br/>
      </w:r>
      <w:r>
        <w:t xml:space="preserve">Tel: +20 100 555 6789</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issued by Nile Delta Accounting &amp; Financial Services, a licensed and certified firm operating in</w:t>
      </w:r>
      <w:r>
        <w:t xml:space="preserve"> </w:t>
      </w:r>
      <w:r>
        <w:t xml:space="preserve">Egypt Alexandria</w:t>
      </w:r>
      <w:r>
        <w:t xml:space="preserve">, to provide Mediterranean Trading &amp; Logistics Co. with a comprehensive and transparent breakdown of professional</w:t>
      </w:r>
      <w:r>
        <w:t xml:space="preserve"> </w:t>
      </w:r>
      <w:r>
        <w:t xml:space="preserve">Accountant</w:t>
      </w:r>
      <w:r>
        <w:t xml:space="preserve"> </w:t>
      </w:r>
      <w:r>
        <w:t xml:space="preserve">services. Our firm has been serving businesses across the Alexandria metropolitan area for over fifteen years, and we understand the unique regulatory, tax, and commercial environment that defines the Egyptian capital of the Mediterranean. This Quotation Estimate outlines the full scope of work, associated fees, timelines, and terms governing the engagement of our senior Accountant team to manage your company's financial operations.</w:t>
      </w:r>
    </w:p>
    <w:bookmarkEnd w:id="21"/>
    <w:bookmarkStart w:id="22" w:name="scope-of-accountant-services"/>
    <w:p>
      <w:pPr>
        <w:pStyle w:val="Heading2"/>
      </w:pPr>
      <w:r>
        <w:t xml:space="preserve">2. Scope of Accountant Services</w:t>
      </w:r>
    </w:p>
    <w:p>
      <w:pPr>
        <w:pStyle w:val="FirstParagraph"/>
      </w:pPr>
      <w:r>
        <w:t xml:space="preserve">The following services constitute the complete engagement as detailed in this Quotation Estimate. Our designated Accountant, a Chartered Accountant (CPA) registered with the Egyptian Institute of Chartered Accountants, will be assigned exclusively to your firm for the duration of the contract. All services will be delivered in accordance with Egyptian Accounting Standards (EAS), International Financial Reporting Standards (IFRS) where applicable, and the regulations set forth by the Egyptian Financial Regulatory Authority (FRA) and the Egyptian Tax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Fee (EGP)</w:t>
            </w:r>
          </w:p>
        </w:tc>
      </w:tr>
      <w:tr>
        <w:tc>
          <w:tcPr/>
          <w:p>
            <w:pPr>
              <w:pStyle w:val="Compact"/>
              <w:jc w:val="left"/>
            </w:pPr>
            <w:r>
              <w:t xml:space="preserve">1</w:t>
            </w:r>
          </w:p>
        </w:tc>
        <w:tc>
          <w:tcPr/>
          <w:p>
            <w:pPr>
              <w:pStyle w:val="Compact"/>
              <w:jc w:val="left"/>
            </w:pPr>
            <w:r>
              <w:t xml:space="preserve">Monthly bookkeeping, journal entries, and general ledger maintenance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 / month</w:t>
            </w:r>
          </w:p>
        </w:tc>
      </w:tr>
      <w:tr>
        <w:tc>
          <w:tcPr/>
          <w:p>
            <w:pPr>
              <w:pStyle w:val="Compact"/>
              <w:jc w:val="left"/>
            </w:pPr>
            <w:r>
              <w:t xml:space="preserve">2</w:t>
            </w:r>
          </w:p>
        </w:tc>
        <w:tc>
          <w:tcPr/>
          <w:p>
            <w:pPr>
              <w:pStyle w:val="Compact"/>
              <w:jc w:val="left"/>
            </w:pPr>
            <w:r>
              <w:t xml:space="preserve">Preparation of monthly financial statements (P&amp;L, Balance Sheet, Cash Flow)</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3,200 / month</w:t>
            </w:r>
          </w:p>
        </w:tc>
      </w:tr>
      <w:tr>
        <w:tc>
          <w:tcPr/>
          <w:p>
            <w:pPr>
              <w:pStyle w:val="Compact"/>
              <w:jc w:val="left"/>
            </w:pPr>
            <w:r>
              <w:t xml:space="preserve">3</w:t>
            </w:r>
          </w:p>
        </w:tc>
        <w:tc>
          <w:tcPr/>
          <w:p>
            <w:pPr>
              <w:pStyle w:val="Compact"/>
              <w:jc w:val="left"/>
            </w:pPr>
            <w:r>
              <w:t xml:space="preserve">VAT filing and compliance with Egyptian Tax Authority (GTP)</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2,800 / quarter</w:t>
            </w:r>
          </w:p>
        </w:tc>
      </w:tr>
      <w:tr>
        <w:tc>
          <w:tcPr/>
          <w:p>
            <w:pPr>
              <w:pStyle w:val="Compact"/>
              <w:jc w:val="left"/>
            </w:pPr>
            <w:r>
              <w:t xml:space="preserve">4</w:t>
            </w:r>
          </w:p>
        </w:tc>
        <w:tc>
          <w:tcPr/>
          <w:p>
            <w:pPr>
              <w:pStyle w:val="Compact"/>
              <w:jc w:val="left"/>
            </w:pPr>
            <w:r>
              <w:t xml:space="preserve">Annual income tax return preparation and submission</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Payroll processing, social insurance filings, and employee tax withholding</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5,500 / month</w:t>
            </w:r>
          </w:p>
        </w:tc>
      </w:tr>
      <w:tr>
        <w:tc>
          <w:tcPr/>
          <w:p>
            <w:pPr>
              <w:pStyle w:val="Compact"/>
              <w:jc w:val="left"/>
            </w:pPr>
            <w:r>
              <w:t xml:space="preserve">6</w:t>
            </w:r>
          </w:p>
        </w:tc>
        <w:tc>
          <w:tcPr/>
          <w:p>
            <w:pPr>
              <w:pStyle w:val="Compact"/>
              <w:jc w:val="left"/>
            </w:pPr>
            <w:r>
              <w:t xml:space="preserve">Bank reconciliation and cash flow monitoring</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2,000 / month</w:t>
            </w:r>
          </w:p>
        </w:tc>
      </w:tr>
      <w:tr>
        <w:tc>
          <w:tcPr/>
          <w:p>
            <w:pPr>
              <w:pStyle w:val="Compact"/>
              <w:jc w:val="left"/>
            </w:pPr>
            <w:r>
              <w:t xml:space="preserve">7</w:t>
            </w:r>
          </w:p>
        </w:tc>
        <w:tc>
          <w:tcPr/>
          <w:p>
            <w:pPr>
              <w:pStyle w:val="Compact"/>
              <w:jc w:val="left"/>
            </w:pPr>
            <w:r>
              <w:t xml:space="preserve">Annual audit support and coordination with external auditors</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Advisory services on tax planning, regulatory compliance, and financial structuring in Egypt Alexandria</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1,500 / hour</w:t>
            </w:r>
          </w:p>
        </w:tc>
      </w:tr>
      <w:tr>
        <w:tc>
          <w:tcPr/>
          <w:p>
            <w:pPr>
              <w:pStyle w:val="Compact"/>
              <w:jc w:val="left"/>
            </w:pPr>
            <w:r>
              <w:t xml:space="preserve">9</w:t>
            </w:r>
          </w:p>
        </w:tc>
        <w:tc>
          <w:tcPr/>
          <w:p>
            <w:pPr>
              <w:pStyle w:val="Compact"/>
              <w:jc w:val="left"/>
            </w:pPr>
            <w:r>
              <w:t xml:space="preserve">Fixed asset register maintenance and depreciation scheduling</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1,200 / month</w:t>
            </w:r>
          </w:p>
        </w:tc>
      </w:tr>
      <w:tr>
        <w:tc>
          <w:tcPr/>
          <w:p>
            <w:pPr>
              <w:pStyle w:val="Compact"/>
              <w:jc w:val="left"/>
            </w:pPr>
            <w:r>
              <w:t xml:space="preserve">10</w:t>
            </w:r>
          </w:p>
        </w:tc>
        <w:tc>
          <w:tcPr/>
          <w:p>
            <w:pPr>
              <w:pStyle w:val="Compact"/>
              <w:jc w:val="left"/>
            </w:pPr>
            <w:r>
              <w:t xml:space="preserve">Management reporting and KPI dashboards for board meetings</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3,000 / quarter</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(EGP)</w:t>
            </w:r>
          </w:p>
        </w:tc>
      </w:tr>
      <w:tr>
        <w:tc>
          <w:tcPr/>
          <w:p>
            <w:pPr>
              <w:pStyle w:val="Compact"/>
              <w:jc w:val="left"/>
            </w:pPr>
            <w:r>
              <w:t xml:space="preserve">Monthly recurring services (Items 1, 2, 5, 6, 9) – 12 months</w:t>
            </w:r>
          </w:p>
        </w:tc>
        <w:tc>
          <w:tcPr/>
          <w:p>
            <w:pPr>
              <w:pStyle w:val="Compact"/>
              <w:jc w:val="left"/>
            </w:pPr>
            <w:r>
              <w:t xml:space="preserve">158,400</w:t>
            </w:r>
          </w:p>
        </w:tc>
      </w:tr>
      <w:tr>
        <w:tc>
          <w:tcPr/>
          <w:p>
            <w:pPr>
              <w:pStyle w:val="Compact"/>
              <w:jc w:val="left"/>
            </w:pPr>
            <w:r>
              <w:t xml:space="preserve">Quarterly services (Items 3, 10) – 4 quarters</w:t>
            </w:r>
          </w:p>
        </w:tc>
        <w:tc>
          <w:tcPr/>
          <w:p>
            <w:pPr>
              <w:pStyle w:val="Compact"/>
              <w:jc w:val="left"/>
            </w:pPr>
            <w:r>
              <w:t xml:space="preserve">23,200</w:t>
            </w:r>
          </w:p>
        </w:tc>
      </w:tr>
      <w:tr>
        <w:tc>
          <w:tcPr/>
          <w:p>
            <w:pPr>
              <w:pStyle w:val="Compact"/>
              <w:jc w:val="left"/>
            </w:pPr>
            <w:r>
              <w:t xml:space="preserve">Annual services (Items 4, 7)</w:t>
            </w:r>
          </w:p>
        </w:tc>
        <w:tc>
          <w:tcPr/>
          <w:p>
            <w:pPr>
              <w:pStyle w:val="Compact"/>
              <w:jc w:val="left"/>
            </w:pPr>
            <w:r>
              <w:t xml:space="preserve">20,500</w:t>
            </w:r>
          </w:p>
        </w:tc>
      </w:tr>
      <w:tr>
        <w:tc>
          <w:tcPr/>
          <w:p>
            <w:pPr>
              <w:pStyle w:val="Compact"/>
              <w:jc w:val="left"/>
            </w:pPr>
            <w:r>
              <w:t xml:space="preserve">Advisory services (Item 8) – estimated 20 hours</w:t>
            </w:r>
          </w:p>
        </w:tc>
        <w:tc>
          <w:tcPr/>
          <w:p>
            <w:pPr>
              <w:pStyle w:val="Compact"/>
              <w:jc w:val="left"/>
            </w:pPr>
            <w:r>
              <w:t xml:space="preserve">30,000</w:t>
            </w:r>
          </w:p>
        </w:tc>
      </w:tr>
      <w:tr>
        <w:tc>
          <w:tcPr/>
          <w:p>
            <w:pPr>
              <w:pStyle w:val="Compact"/>
              <w:jc w:val="left"/>
            </w:pPr>
            <w:r>
              <w:t xml:space="preserve">Subtotal</w:t>
            </w:r>
          </w:p>
        </w:tc>
        <w:tc>
          <w:tcPr/>
          <w:p>
            <w:pPr>
              <w:pStyle w:val="Compact"/>
              <w:jc w:val="left"/>
            </w:pPr>
            <w:r>
              <w:t xml:space="preserve">232,100</w:t>
            </w:r>
          </w:p>
        </w:tc>
      </w:tr>
      <w:tr>
        <w:tc>
          <w:tcPr/>
          <w:p>
            <w:pPr>
              <w:pStyle w:val="Compact"/>
              <w:jc w:val="left"/>
            </w:pPr>
            <w:r>
              <w:t xml:space="preserve">VAT (14% – Egyptian standard rate)</w:t>
            </w:r>
          </w:p>
        </w:tc>
        <w:tc>
          <w:tcPr/>
          <w:p>
            <w:pPr>
              <w:pStyle w:val="Compact"/>
              <w:jc w:val="left"/>
            </w:pPr>
            <w:r>
              <w:t xml:space="preserve">32,494</w:t>
            </w:r>
          </w:p>
        </w:tc>
      </w:tr>
      <w:tr>
        <w:tc>
          <w:tcPr/>
          <w:p>
            <w:pPr>
              <w:pStyle w:val="Compact"/>
              <w:jc w:val="left"/>
            </w:pPr>
            <w:r>
              <w:t xml:space="preserve">Total Quotation Estimate Amount</w:t>
            </w:r>
          </w:p>
        </w:tc>
        <w:tc>
          <w:tcPr/>
          <w:p>
            <w:pPr>
              <w:pStyle w:val="Compact"/>
              <w:jc w:val="left"/>
            </w:pPr>
            <w:r>
              <w:t xml:space="preserve">264,594 EGP</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fees may be subject to revision based on market conditions in Egypt Alexandria and changes in Egyptian tax legislation.</w:t>
      </w:r>
    </w:p>
    <w:p>
      <w:pPr>
        <w:numPr>
          <w:ilvl w:val="0"/>
          <w:numId w:val="1001"/>
        </w:numPr>
        <w:pStyle w:val="Compact"/>
      </w:pPr>
      <w:r>
        <w:t xml:space="preserve">Payment terms: 50% of the total Quotation Estimate amount shall be due upon contract signing, and the remaining 50% shall be paid in equal monthly installments over the twelve-month engagement period.</w:t>
      </w:r>
    </w:p>
    <w:p>
      <w:pPr>
        <w:numPr>
          <w:ilvl w:val="0"/>
          <w:numId w:val="1001"/>
        </w:numPr>
        <w:pStyle w:val="Compact"/>
      </w:pPr>
      <w:r>
        <w:t xml:space="preserve">All fees are quoted in Egyptian Pounds (EGP). In the event of significant currency fluctuation or government-mandated fee adjustments, our Accountant team will notify the client in writing at least fourteen (14) days prior to any change.</w:t>
      </w:r>
    </w:p>
    <w:p>
      <w:pPr>
        <w:numPr>
          <w:ilvl w:val="0"/>
          <w:numId w:val="1001"/>
        </w:numPr>
        <w:pStyle w:val="Compact"/>
      </w:pPr>
      <w:r>
        <w:t xml:space="preserve">The client agrees to provide timely access to all financial records, bank statements, invoices, and supporting documentation required by the Accountant to perform the services outlined in this Quotation Estimate.</w:t>
      </w:r>
    </w:p>
    <w:p>
      <w:pPr>
        <w:numPr>
          <w:ilvl w:val="0"/>
          <w:numId w:val="1001"/>
        </w:numPr>
        <w:pStyle w:val="Compact"/>
      </w:pPr>
      <w:r>
        <w:t xml:space="preserve">Confidentiality: All financial data, trade secrets, and proprietary information shared during the engagement shall be treated as strictly confidential by our firm and its Accountant staff, in compliance with Egyptian data protection regulations.</w:t>
      </w:r>
    </w:p>
    <w:p>
      <w:pPr>
        <w:numPr>
          <w:ilvl w:val="0"/>
          <w:numId w:val="1001"/>
        </w:numPr>
        <w:pStyle w:val="Compact"/>
      </w:pPr>
      <w:r>
        <w:t xml:space="preserve">Liability: Nile Delta Accounting &amp; Financial Services shall not be held liable for penalties, fines, or losses arising from information provided inaccurately or incompletely by the client.</w:t>
      </w:r>
    </w:p>
    <w:p>
      <w:pPr>
        <w:numPr>
          <w:ilvl w:val="0"/>
          <w:numId w:val="1001"/>
        </w:numPr>
        <w:pStyle w:val="Compact"/>
      </w:pPr>
      <w:r>
        <w:t xml:space="preserve">Termination: Either party may terminate the engagement with thirty (30) days written notice. In such case, fees for services rendered up to the termination date shall be due in full.</w:t>
      </w:r>
    </w:p>
    <w:p>
      <w:pPr>
        <w:numPr>
          <w:ilvl w:val="0"/>
          <w:numId w:val="1001"/>
        </w:numPr>
        <w:pStyle w:val="Compact"/>
      </w:pPr>
      <w:r>
        <w:t xml:space="preserve">This Quotation Estimate does not constitute a binding contract until countersigned by both parties and a formal Service Agreement is executed.</w:t>
      </w:r>
    </w:p>
    <w:bookmarkEnd w:id="24"/>
    <w:bookmarkStart w:id="25" w:name="Xe70e00d7a0961cfaf8cfcca42428da7c1ca4100"/>
    <w:p>
      <w:pPr>
        <w:pStyle w:val="Heading2"/>
      </w:pPr>
      <w:r>
        <w:t xml:space="preserve">5. Why Choose Our Accountant Services in Egypt Alexandria</w:t>
      </w:r>
    </w:p>
    <w:p>
      <w:pPr>
        <w:pStyle w:val="FirstParagraph"/>
      </w:pPr>
      <w:r>
        <w:t xml:space="preserve">Alexandria, as Egypt's second-largest city and its primary Mediterranean port, presents a dynamic and complex business environment. Our Accountant team possesses deep, localized expertise in the commercial regulations, port-related tax incentives, free-zone accounting requirements, and the specific reporting obligations that apply to enterprises operating in the Alexandria Governorate. We maintain active relationships with the Alexandria branch of the Egyptian Tax Authority, the local Chamber of Commerce, and the Social Insurance Authority, ensuring that your compliance obligations are handled efficiently and without unnecessary delays. This Quotation Estimate reflects our commitment to delivering value-driven, transparent, and professionally managed accounting solutions tailored to the needs of businesses in Egypt Alexandria.</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receipt of this Quotation Estimate for Accountant services in Egypt Alexandria and agrees to the terms, conditions, and fees outlined herein. This signature authorizes Nile Delta Accounting &amp; Financial Services to commence the engagement as described.</w:t>
      </w:r>
    </w:p>
    <w:p>
      <w:pPr>
        <w:pStyle w:val="BodyText"/>
      </w:pPr>
      <w:r>
        <w:rPr>
          <w:bCs/>
          <w:b/>
        </w:rPr>
        <w:t xml:space="preserve">Client Representative</w:t>
      </w:r>
      <w:r>
        <w:br/>
      </w:r>
      <w:r>
        <w:t xml:space="preserve">Name: ___________________________</w:t>
      </w:r>
      <w:r>
        <w:br/>
      </w:r>
      <w:r>
        <w:t xml:space="preserve">Title: ___________________________</w:t>
      </w:r>
      <w:r>
        <w:br/>
      </w:r>
      <w:r>
        <w:t xml:space="preserve">Signature &amp; Date: _______________</w:t>
      </w:r>
    </w:p>
    <w:p>
      <w:pPr>
        <w:pStyle w:val="BodyText"/>
      </w:pPr>
      <w:r>
        <w:rPr>
          <w:bCs/>
          <w:b/>
        </w:rPr>
        <w:t xml:space="preserve">Nile Delta Accounting &amp; Financial Services</w:t>
      </w:r>
      <w:r>
        <w:br/>
      </w:r>
      <w:r>
        <w:t xml:space="preserve">Name: Dr. Mona El-Halawany, CPA</w:t>
      </w:r>
      <w:r>
        <w:br/>
      </w:r>
      <w:r>
        <w:t xml:space="preserve">Title: Managing Partner &amp; Lead Accountant</w:t>
      </w:r>
      <w:r>
        <w:br/>
      </w:r>
      <w:r>
        <w:t xml:space="preserve">Signature &amp; Date: _______________</w:t>
      </w:r>
    </w:p>
    <w:bookmarkEnd w:id="26"/>
    <w:p>
      <w:pPr>
        <w:pStyle w:val="BodyText"/>
      </w:pPr>
      <w:r>
        <w:t xml:space="preserve">This Quotation Estimate document was prepared exclusively for Mediterranean Trading &amp; Logistics Co. and is not transferable.</w:t>
      </w:r>
      <w:r>
        <w:br/>
      </w:r>
      <w:r>
        <w:t xml:space="preserve">Nile Delta Accounting &amp; Financial Services | Alexandria, Egypt | Commercial Reg. No: 88421</w:t>
      </w:r>
      <w:r>
        <w:br/>
      </w:r>
      <w:r>
        <w:t xml:space="preserve">© 2025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Egypt Alexandria</dc:title>
  <dc:creator/>
  <dc:language>en</dc:language>
  <cp:keywords/>
  <dcterms:created xsi:type="dcterms:W3CDTF">2026-10-10T09:17:14Z</dcterms:created>
  <dcterms:modified xsi:type="dcterms:W3CDTF">2026-10-10T09:17:14Z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