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Cairo, Egypt</w:t>
      </w:r>
    </w:p>
    <w:p>
      <w:pPr>
        <w:pStyle w:val="BodyText"/>
      </w:pPr>
      <w:r>
        <w:t xml:space="preserve">Document No: QE-EGY-CAI-2025-0047</w:t>
      </w:r>
    </w:p>
    <w:bookmarkEnd w:id="20"/>
    <w:p>
      <w:pPr>
        <w:pStyle w:val="BodyText"/>
      </w:pPr>
      <w:r>
        <w:rPr>
          <w:bCs/>
          <w:b/>
        </w:rPr>
        <w:t xml:space="preserve">Prepared By:</w:t>
      </w:r>
      <w:r>
        <w:br/>
      </w:r>
      <w:r>
        <w:t xml:space="preserve">Al-Nile Accounting &amp; Financial Solutions</w:t>
      </w:r>
      <w:r>
        <w:br/>
      </w:r>
      <w:r>
        <w:t xml:space="preserve">12 Tahrir Square, Downtown</w:t>
      </w:r>
      <w:r>
        <w:br/>
      </w:r>
      <w:r>
        <w:t xml:space="preserve">Cairo, Egypt 11511</w:t>
      </w:r>
      <w:r>
        <w:br/>
      </w:r>
      <w:r>
        <w:t xml:space="preserve">Tel: +20 2 2578 4433</w:t>
      </w:r>
      <w:r>
        <w:br/>
      </w:r>
      <w:r>
        <w:t xml:space="preserve">Email: info@alnile-accounting.eg</w:t>
      </w:r>
    </w:p>
    <w:p>
      <w:pPr>
        <w:pStyle w:val="BodyText"/>
      </w:pPr>
      <w:r>
        <w:rPr>
          <w:bCs/>
          <w:b/>
        </w:rPr>
        <w:t xml:space="preserve">Prepared For:</w:t>
      </w:r>
      <w:r>
        <w:br/>
      </w:r>
      <w:r>
        <w:t xml:space="preserve">[Client Company Name]</w:t>
      </w:r>
      <w:r>
        <w:br/>
      </w:r>
      <w:r>
        <w:t xml:space="preserve">[Client Address]</w:t>
      </w:r>
      <w:r>
        <w:br/>
      </w:r>
      <w:r>
        <w:t xml:space="preserve">Cairo, Egypt</w:t>
      </w:r>
      <w:r>
        <w:br/>
      </w:r>
      <w:r>
        <w:t xml:space="preserve">Tax Registration No: [TRN-XXXXXXX]</w:t>
      </w:r>
      <w:r>
        <w:br/>
      </w:r>
      <w:r>
        <w:t xml:space="preserve">Commercial Reg: [CR-XXXXXXX]</w:t>
      </w:r>
    </w:p>
    <w:p>
      <w:pPr>
        <w:pStyle w:val="BodyText"/>
      </w:pPr>
      <w:r>
        <w:rPr>
          <w:bCs/>
          <w:b/>
        </w:rPr>
        <w:t xml:space="preserve">Quotation Date:</w:t>
      </w:r>
      <w:r>
        <w:br/>
      </w:r>
      <w:r>
        <w:t xml:space="preserve">15 June 2025</w:t>
      </w:r>
      <w:r>
        <w:br/>
      </w:r>
      <w:r>
        <w:br/>
      </w:r>
      <w:r>
        <w:rPr>
          <w:bCs/>
          <w:b/>
        </w:rPr>
        <w:t xml:space="preserve">Valid Until:</w:t>
      </w:r>
      <w:r>
        <w:br/>
      </w:r>
      <w:r>
        <w:t xml:space="preserve">15 July 2025</w:t>
      </w:r>
      <w:r>
        <w:br/>
      </w:r>
      <w:r>
        <w:br/>
      </w:r>
      <w:r>
        <w:rPr>
          <w:bCs/>
          <w:b/>
        </w:rPr>
        <w:t xml:space="preserve">Reference:</w:t>
      </w:r>
      <w:r>
        <w:br/>
      </w:r>
      <w:r>
        <w:t xml:space="preserve">QE-EGY-CAI-2025-0047</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Al-Nile Accounting &amp; Financial Solutions, a licensed and registered firm operating in the heart of</w:t>
      </w:r>
      <w:r>
        <w:t xml:space="preserve"> </w:t>
      </w:r>
      <w:r>
        <w:t xml:space="preserve">Egypt Cairo</w:t>
      </w:r>
      <w:r>
        <w:t xml:space="preserve">, to provide a comprehensive and transparent breakdown of professional</w:t>
      </w:r>
      <w:r>
        <w:t xml:space="preserve"> </w:t>
      </w:r>
      <w:r>
        <w:t xml:space="preserve">Accountant</w:t>
      </w:r>
      <w:r>
        <w:t xml:space="preserve"> </w:t>
      </w:r>
      <w:r>
        <w:t xml:space="preserve">services tailored to the specific financial and regulatory needs of your organization. As a firm deeply embedded in the Cairo business ecosystem, we understand the unique challenges that companies face when navigating the Egyptian tax code, the Central Bank of Egypt regulations, and the evolving requirements set forth by the Egyptian Financial Regulatory Authority (FRA). This document serves as a formal</w:t>
      </w:r>
      <w:r>
        <w:t xml:space="preserve"> </w:t>
      </w:r>
      <w:r>
        <w:t xml:space="preserve">Quotation Estimate</w:t>
      </w:r>
      <w:r>
        <w:t xml:space="preserve"> </w:t>
      </w:r>
      <w:r>
        <w:t xml:space="preserve">outlining the scope, deliverables, timelines, and associated costs for the engagement of our senior</w:t>
      </w:r>
      <w:r>
        <w:t xml:space="preserve"> </w:t>
      </w:r>
      <w:r>
        <w:t xml:space="preserve">Accountant</w:t>
      </w:r>
      <w:r>
        <w:t xml:space="preserve"> </w:t>
      </w:r>
      <w:r>
        <w:t xml:space="preserve">team.</w:t>
      </w:r>
    </w:p>
    <w:bookmarkEnd w:id="21"/>
    <w:bookmarkStart w:id="22" w:name="scope-of-accountant-services"/>
    <w:p>
      <w:pPr>
        <w:pStyle w:val="Heading2"/>
      </w:pPr>
      <w:r>
        <w:t xml:space="preserve">2. Scope of Accountant Services</w:t>
      </w:r>
    </w:p>
    <w:p>
      <w:pPr>
        <w:pStyle w:val="FirstParagraph"/>
      </w:pPr>
      <w:r>
        <w:t xml:space="preserve">The</w:t>
      </w:r>
      <w:r>
        <w:t xml:space="preserve"> </w:t>
      </w:r>
      <w:r>
        <w:t xml:space="preserve">Accountant</w:t>
      </w:r>
      <w:r>
        <w:t xml:space="preserve"> </w:t>
      </w:r>
      <w:r>
        <w:t xml:space="preserve">services proposed in this</w:t>
      </w:r>
      <w:r>
        <w:t xml:space="preserve"> </w:t>
      </w:r>
      <w:r>
        <w:t xml:space="preserve">Quotation Estimate</w:t>
      </w:r>
      <w:r>
        <w:t xml:space="preserve"> </w:t>
      </w:r>
      <w:r>
        <w:t xml:space="preserve">encompass a full spectrum of financial management activities designed to ensure full compliance with Egyptian law while optimizing your organization's financial performance. Our</w:t>
      </w:r>
      <w:r>
        <w:t xml:space="preserve"> </w:t>
      </w:r>
      <w:r>
        <w:t xml:space="preserve">Accountant</w:t>
      </w:r>
      <w:r>
        <w:t xml:space="preserve"> </w:t>
      </w:r>
      <w:r>
        <w:t xml:space="preserve">team, based in our Cairo office, will deliver the following services on a monthly retainer basis:</w:t>
      </w:r>
    </w:p>
    <w:p>
      <w:pPr>
        <w:numPr>
          <w:ilvl w:val="0"/>
          <w:numId w:val="1001"/>
        </w:numPr>
        <w:pStyle w:val="Compact"/>
      </w:pPr>
      <w:r>
        <w:rPr>
          <w:bCs/>
          <w:b/>
        </w:rPr>
        <w:t xml:space="preserve">General Ledger Management:</w:t>
      </w:r>
      <w:r>
        <w:t xml:space="preserve"> </w:t>
      </w:r>
      <w:r>
        <w:t xml:space="preserve">Maintenance and reconciliation of all general ledger accounts in accordance with IFRS standards as adopted in Egypt, ensuring accurate and timely financial reporting.</w:t>
      </w:r>
    </w:p>
    <w:p>
      <w:pPr>
        <w:numPr>
          <w:ilvl w:val="0"/>
          <w:numId w:val="1001"/>
        </w:numPr>
        <w:pStyle w:val="Compact"/>
      </w:pPr>
      <w:r>
        <w:rPr>
          <w:bCs/>
          <w:b/>
        </w:rPr>
        <w:t xml:space="preserve">Tax Compliance and Filing:</w:t>
      </w:r>
      <w:r>
        <w:t xml:space="preserve"> </w:t>
      </w:r>
      <w:r>
        <w:t xml:space="preserve">Preparation and submission of all periodic tax returns including Value Added Tax (VAT) returns, Corporate Income Tax (CIT) returns, and Withholding Tax declarations in compliance with the Egyptian Tax Authority (ETA) requirements applicable in Cairo and all governorates.</w:t>
      </w:r>
    </w:p>
    <w:p>
      <w:pPr>
        <w:numPr>
          <w:ilvl w:val="0"/>
          <w:numId w:val="1001"/>
        </w:numPr>
        <w:pStyle w:val="Compact"/>
      </w:pPr>
      <w:r>
        <w:rPr>
          <w:bCs/>
          <w:b/>
        </w:rPr>
        <w:t xml:space="preserve">Payroll Processing:</w:t>
      </w:r>
      <w:r>
        <w:t xml:space="preserve"> </w:t>
      </w:r>
      <w:r>
        <w:t xml:space="preserve">End-to-end payroll administration for up to 200 employees, including social insurance contributions (GOSI), income tax withholding, and statutory deductions as mandated by Egyptian labor law.</w:t>
      </w:r>
    </w:p>
    <w:p>
      <w:pPr>
        <w:numPr>
          <w:ilvl w:val="0"/>
          <w:numId w:val="1001"/>
        </w:numPr>
        <w:pStyle w:val="Compact"/>
      </w:pPr>
      <w:r>
        <w:rPr>
          <w:bCs/>
          <w:b/>
        </w:rPr>
        <w:t xml:space="preserve">Financial Statement Preparation:</w:t>
      </w:r>
      <w:r>
        <w:t xml:space="preserve"> </w:t>
      </w:r>
      <w:r>
        <w:t xml:space="preserve">Monthly, quarterly, and annual preparation of balance sheets, income statements, cash flow statements, and notes to the financial statements.</w:t>
      </w:r>
    </w:p>
    <w:p>
      <w:pPr>
        <w:numPr>
          <w:ilvl w:val="0"/>
          <w:numId w:val="1001"/>
        </w:numPr>
        <w:pStyle w:val="Compact"/>
      </w:pPr>
      <w:r>
        <w:rPr>
          <w:bCs/>
          <w:b/>
        </w:rPr>
        <w:t xml:space="preserve">Accounts Payable and Receivable:</w:t>
      </w:r>
      <w:r>
        <w:t xml:space="preserve"> </w:t>
      </w:r>
      <w:r>
        <w:t xml:space="preserve">Management of vendor payments, customer invoicing, aging analysis, and collection follow-up for all transactions denominated in Egyptian Pounds (EGP) and foreign currencies.</w:t>
      </w:r>
    </w:p>
    <w:p>
      <w:pPr>
        <w:numPr>
          <w:ilvl w:val="0"/>
          <w:numId w:val="1001"/>
        </w:numPr>
        <w:pStyle w:val="Compact"/>
      </w:pPr>
      <w:r>
        <w:rPr>
          <w:bCs/>
          <w:b/>
        </w:rPr>
        <w:t xml:space="preserve">Regulatory Reporting:</w:t>
      </w:r>
      <w:r>
        <w:t xml:space="preserve"> </w:t>
      </w:r>
      <w:r>
        <w:t xml:space="preserve">Filing of mandatory reports with the Egyptian Companies Authority, the Central Bank of Egypt (where applicable), and the Egyptian Financial Regulatory Authority.</w:t>
      </w:r>
    </w:p>
    <w:p>
      <w:pPr>
        <w:numPr>
          <w:ilvl w:val="0"/>
          <w:numId w:val="1001"/>
        </w:numPr>
        <w:pStyle w:val="Compact"/>
      </w:pPr>
      <w:r>
        <w:rPr>
          <w:bCs/>
          <w:b/>
        </w:rPr>
        <w:t xml:space="preserve">Advisory and Consultation:</w:t>
      </w:r>
      <w:r>
        <w:t xml:space="preserve"> </w:t>
      </w:r>
      <w:r>
        <w:t xml:space="preserve">Up to 8 hours per month of dedicated advisory time from our senior</w:t>
      </w:r>
      <w:r>
        <w:t xml:space="preserve"> </w:t>
      </w:r>
      <w:r>
        <w:t xml:space="preserve">Accountant</w:t>
      </w:r>
      <w:r>
        <w:t xml:space="preserve"> </w:t>
      </w:r>
      <w:r>
        <w:t xml:space="preserve">for strategic financial planning, budgeting, and cost optimization discussions.</w:t>
      </w:r>
    </w:p>
    <w:bookmarkEnd w:id="22"/>
    <w:bookmarkStart w:id="23" w:name="quotation-estimate-pricing-breakdown"/>
    <w:p>
      <w:pPr>
        <w:pStyle w:val="Heading2"/>
      </w:pPr>
      <w:r>
        <w:t xml:space="preserve">3. Quotation Estimate – Pricing Breakdown</w:t>
      </w:r>
    </w:p>
    <w:p>
      <w:pPr>
        <w:pStyle w:val="FirstParagraph"/>
      </w:pPr>
      <w:r>
        <w:t xml:space="preserve">The following</w:t>
      </w:r>
      <w:r>
        <w:t xml:space="preserve"> </w:t>
      </w:r>
      <w:r>
        <w:t xml:space="preserve">Quotation Estimate</w:t>
      </w:r>
      <w:r>
        <w:t xml:space="preserve"> </w:t>
      </w:r>
      <w:r>
        <w:t xml:space="preserve">details the monthly and annual fees for the</w:t>
      </w:r>
      <w:r>
        <w:t xml:space="preserve"> </w:t>
      </w:r>
      <w:r>
        <w:t xml:space="preserve">Accountant</w:t>
      </w:r>
      <w:r>
        <w:t xml:space="preserve"> </w:t>
      </w:r>
      <w:r>
        <w:t xml:space="preserve">services described above. All prices are quoted in Egyptian Pounds (EGP) and are inclusive of applicable VAT at the current rate of 14% as per Egyptian tax law.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Monthly Fee (EGP)</w:t>
            </w:r>
          </w:p>
        </w:tc>
        <w:tc>
          <w:tcPr/>
          <w:p>
            <w:pPr>
              <w:pStyle w:val="Compact"/>
              <w:jc w:val="left"/>
            </w:pPr>
            <w:r>
              <w:t xml:space="preserve">Annual Fee (EGP)</w:t>
            </w:r>
          </w:p>
        </w:tc>
      </w:tr>
      <w:tr>
        <w:tc>
          <w:tcPr/>
          <w:p>
            <w:pPr>
              <w:pStyle w:val="Compact"/>
              <w:jc w:val="left"/>
            </w:pPr>
            <w:r>
              <w:t xml:space="preserve">General Ledger &amp; Bookkeeping</w:t>
            </w:r>
          </w:p>
        </w:tc>
        <w:tc>
          <w:tcPr/>
          <w:p>
            <w:pPr>
              <w:pStyle w:val="Compact"/>
              <w:jc w:val="left"/>
            </w:pPr>
            <w:r>
              <w:t xml:space="preserve">Full-cycle accounting, journal entries, reconciliations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Tax Compliance &amp; Filing</w:t>
            </w:r>
          </w:p>
        </w:tc>
        <w:tc>
          <w:tcPr/>
          <w:p>
            <w:pPr>
              <w:pStyle w:val="Compact"/>
              <w:jc w:val="left"/>
            </w:pPr>
            <w:r>
              <w:t xml:space="preserve">VAT, CIT, WHT returns and ETA liaison</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Payroll Administration</w:t>
            </w:r>
          </w:p>
        </w:tc>
        <w:tc>
          <w:tcPr/>
          <w:p>
            <w:pPr>
              <w:pStyle w:val="Compact"/>
              <w:jc w:val="left"/>
            </w:pPr>
            <w:r>
              <w:t xml:space="preserve">Up to 200 employees, GOSI, income tax</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Financial Reporting</w:t>
            </w:r>
          </w:p>
        </w:tc>
        <w:tc>
          <w:tcPr/>
          <w:p>
            <w:pPr>
              <w:pStyle w:val="Compact"/>
              <w:jc w:val="left"/>
            </w:pPr>
            <w:r>
              <w:t xml:space="preserve">Monthly, quarterly, and annual statements</w:t>
            </w:r>
          </w:p>
        </w:tc>
        <w:tc>
          <w:tcPr/>
          <w:p>
            <w:pPr>
              <w:pStyle w:val="Compact"/>
              <w:jc w:val="left"/>
            </w:pPr>
            <w:r>
              <w:t xml:space="preserve">10,500</w:t>
            </w:r>
          </w:p>
        </w:tc>
        <w:tc>
          <w:tcPr/>
          <w:p>
            <w:pPr>
              <w:pStyle w:val="Compact"/>
              <w:jc w:val="left"/>
            </w:pPr>
            <w:r>
              <w:t xml:space="preserve">126,000</w:t>
            </w:r>
          </w:p>
        </w:tc>
      </w:tr>
      <w:tr>
        <w:tc>
          <w:tcPr/>
          <w:p>
            <w:pPr>
              <w:pStyle w:val="Compact"/>
              <w:jc w:val="left"/>
            </w:pPr>
            <w:r>
              <w:t xml:space="preserve">AP/AR Management</w:t>
            </w:r>
          </w:p>
        </w:tc>
        <w:tc>
          <w:tcPr/>
          <w:p>
            <w:pPr>
              <w:pStyle w:val="Compact"/>
              <w:jc w:val="left"/>
            </w:pPr>
            <w:r>
              <w:t xml:space="preserve">Invoicing, collections, vendor payments</w:t>
            </w:r>
          </w:p>
        </w:tc>
        <w:tc>
          <w:tcPr/>
          <w:p>
            <w:pPr>
              <w:pStyle w:val="Compact"/>
              <w:jc w:val="left"/>
            </w:pPr>
            <w:r>
              <w:t xml:space="preserve">9,000</w:t>
            </w:r>
          </w:p>
        </w:tc>
        <w:tc>
          <w:tcPr/>
          <w:p>
            <w:pPr>
              <w:pStyle w:val="Compact"/>
              <w:jc w:val="left"/>
            </w:pPr>
            <w:r>
              <w:t xml:space="preserve">108,000</w:t>
            </w:r>
          </w:p>
        </w:tc>
      </w:tr>
      <w:tr>
        <w:tc>
          <w:tcPr/>
          <w:p>
            <w:pPr>
              <w:pStyle w:val="Compact"/>
              <w:jc w:val="left"/>
            </w:pPr>
            <w:r>
              <w:t xml:space="preserve">Regulatory Filings</w:t>
            </w:r>
          </w:p>
        </w:tc>
        <w:tc>
          <w:tcPr/>
          <w:p>
            <w:pPr>
              <w:pStyle w:val="Compact"/>
              <w:jc w:val="left"/>
            </w:pPr>
            <w:r>
              <w:t xml:space="preserve">Companies Authority, CBE, FRA reports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Advisory &amp; Consultation</w:t>
            </w:r>
          </w:p>
        </w:tc>
        <w:tc>
          <w:tcPr/>
          <w:p>
            <w:pPr>
              <w:pStyle w:val="Compact"/>
              <w:jc w:val="left"/>
            </w:pPr>
            <w:r>
              <w:t xml:space="preserve">8 hours/month senior Accountant time</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Software &amp; Licensing</w:t>
            </w:r>
          </w:p>
        </w:tc>
        <w:tc>
          <w:tcPr/>
          <w:p>
            <w:pPr>
              <w:pStyle w:val="Compact"/>
              <w:jc w:val="left"/>
            </w:pPr>
            <w:r>
              <w:t xml:space="preserve">Accounting software, e-invoicing platform (ETA)</w:t>
            </w:r>
          </w:p>
        </w:tc>
        <w:tc>
          <w:tcPr/>
          <w:p>
            <w:pPr>
              <w:pStyle w:val="Compact"/>
              <w:jc w:val="left"/>
            </w:pPr>
            <w:r>
              <w:t xml:space="preserve">4,500</w:t>
            </w:r>
          </w:p>
        </w:tc>
        <w:tc>
          <w:tcPr/>
          <w:p>
            <w:pPr>
              <w:pStyle w:val="Compact"/>
              <w:jc w:val="left"/>
            </w:pPr>
            <w:r>
              <w:t xml:space="preserve">54,000</w:t>
            </w:r>
          </w:p>
        </w:tc>
      </w:tr>
      <w:tr>
        <w:tc>
          <w:tcPr>
            <w:gridSpan w:val="2"/>
          </w:tcPr>
          <w:p>
            <w:pPr>
              <w:pStyle w:val="Compact"/>
              <w:jc w:val="left"/>
            </w:pPr>
            <w:r>
              <w:rPr>
                <w:bCs/>
                <w:b/>
              </w:rPr>
              <w:t xml:space="preserve">Subtotal (Excluding VAT)</w:t>
            </w:r>
          </w:p>
        </w:tc>
        <w:tc>
          <w:tcPr/>
          <w:p>
            <w:pPr>
              <w:pStyle w:val="Compact"/>
              <w:jc w:val="left"/>
            </w:pPr>
            <w:r>
              <w:rPr>
                <w:bCs/>
                <w:b/>
              </w:rPr>
              <w:t xml:space="preserve">89,000</w:t>
            </w:r>
          </w:p>
        </w:tc>
        <w:tc>
          <w:tcPr/>
          <w:p>
            <w:pPr>
              <w:pStyle w:val="Compact"/>
              <w:jc w:val="left"/>
            </w:pPr>
            <w:r>
              <w:rPr>
                <w:bCs/>
                <w:b/>
              </w:rPr>
              <w:t xml:space="preserve">1,068,000</w:t>
            </w:r>
          </w:p>
        </w:tc>
      </w:tr>
      <w:tr>
        <w:tc>
          <w:tcPr>
            <w:gridSpan w:val="2"/>
          </w:tcPr>
          <w:p>
            <w:pPr>
              <w:pStyle w:val="Compact"/>
              <w:jc w:val="left"/>
            </w:pPr>
            <w:r>
              <w:rPr>
                <w:bCs/>
                <w:b/>
              </w:rPr>
              <w:t xml:space="preserve">VAT (14%)</w:t>
            </w:r>
          </w:p>
        </w:tc>
        <w:tc>
          <w:tcPr/>
          <w:p>
            <w:pPr>
              <w:pStyle w:val="Compact"/>
              <w:jc w:val="left"/>
            </w:pPr>
            <w:r>
              <w:rPr>
                <w:bCs/>
                <w:b/>
              </w:rPr>
              <w:t xml:space="preserve">12,460</w:t>
            </w:r>
          </w:p>
        </w:tc>
        <w:tc>
          <w:tcPr/>
          <w:p>
            <w:pPr>
              <w:pStyle w:val="Compact"/>
              <w:jc w:val="left"/>
            </w:pPr>
            <w:r>
              <w:rPr>
                <w:bCs/>
                <w:b/>
              </w:rPr>
              <w:t xml:space="preserve">149,520</w:t>
            </w:r>
          </w:p>
        </w:tc>
      </w:tr>
      <w:tr>
        <w:tc>
          <w:tcPr>
            <w:gridSpan w:val="2"/>
          </w:tcPr>
          <w:p>
            <w:pPr>
              <w:pStyle w:val="Compact"/>
              <w:jc w:val="left"/>
            </w:pPr>
            <w:r>
              <w:rPr>
                <w:bCs/>
                <w:b/>
              </w:rPr>
              <w:t xml:space="preserve">Total Quotation Estimate (Including VAT)</w:t>
            </w:r>
          </w:p>
        </w:tc>
        <w:tc>
          <w:tcPr/>
          <w:p>
            <w:pPr>
              <w:pStyle w:val="Compact"/>
              <w:jc w:val="left"/>
            </w:pPr>
            <w:r>
              <w:rPr>
                <w:bCs/>
                <w:b/>
              </w:rPr>
              <w:t xml:space="preserve">101,460</w:t>
            </w:r>
          </w:p>
        </w:tc>
        <w:tc>
          <w:tcPr/>
          <w:p>
            <w:pPr>
              <w:pStyle w:val="Compact"/>
              <w:jc w:val="left"/>
            </w:pPr>
            <w:r>
              <w:rPr>
                <w:bCs/>
                <w:b/>
              </w:rPr>
              <w:t xml:space="preserve">1,217,520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fees may be subject to revision based on changes in the Egyptian Pound exchange rate, statutory minimum wage adjustments, or updates to the Egyptian tax code.</w:t>
      </w:r>
    </w:p>
    <w:p>
      <w:pPr>
        <w:numPr>
          <w:ilvl w:val="0"/>
          <w:numId w:val="1002"/>
        </w:numPr>
        <w:pStyle w:val="Compact"/>
      </w:pPr>
      <w:r>
        <w:t xml:space="preserve">Payment terms: 50% of the monthly fee is due on the 1st of each month, and the remaining 50% is due on the 15th. Annual prepayment qualifies for a 5% discount on the total</w:t>
      </w:r>
      <w:r>
        <w:t xml:space="preserve"> </w:t>
      </w:r>
      <w:r>
        <w:t xml:space="preserve">Quotation Estimate</w:t>
      </w:r>
      <w:r>
        <w:t xml:space="preserve">.</w:t>
      </w:r>
    </w:p>
    <w:p>
      <w:pPr>
        <w:numPr>
          <w:ilvl w:val="0"/>
          <w:numId w:val="1002"/>
        </w:numPr>
        <w:pStyle w:val="Compact"/>
      </w:pPr>
      <w:r>
        <w:t xml:space="preserve">The</w:t>
      </w:r>
      <w:r>
        <w:t xml:space="preserve"> </w:t>
      </w:r>
      <w:r>
        <w:t xml:space="preserve">Accountant</w:t>
      </w:r>
      <w:r>
        <w:t xml:space="preserve"> </w:t>
      </w:r>
      <w:r>
        <w:t xml:space="preserve">engagement is subject to a minimum contract term of twelve (12) months. Early termination requires a 60-day written notice and settlement of all outstanding invoices.</w:t>
      </w:r>
    </w:p>
    <w:p>
      <w:pPr>
        <w:numPr>
          <w:ilvl w:val="0"/>
          <w:numId w:val="1002"/>
        </w:numPr>
        <w:pStyle w:val="Compact"/>
      </w:pPr>
      <w:r>
        <w:t xml:space="preserve">All services will be performed in accordance with the Egyptian Companies Law No. 159 of 1981 (as amended), the Egyptian Tax Procedures Law No. 205 of 2020, and IFRS standards as locally adopted.</w:t>
      </w:r>
    </w:p>
    <w:p>
      <w:pPr>
        <w:numPr>
          <w:ilvl w:val="0"/>
          <w:numId w:val="1002"/>
        </w:numPr>
        <w:pStyle w:val="Compact"/>
      </w:pPr>
      <w:r>
        <w:t xml:space="preserve">Our</w:t>
      </w:r>
      <w:r>
        <w:t xml:space="preserve"> </w:t>
      </w:r>
      <w:r>
        <w:t xml:space="preserve">Accountant</w:t>
      </w:r>
      <w:r>
        <w:t xml:space="preserve"> </w:t>
      </w:r>
      <w:r>
        <w:t xml:space="preserve">team will operate from our registered office in Cairo, Egypt, with the option of up to two on-site visits per month at the client's premises within the Greater Cairo area.</w:t>
      </w:r>
    </w:p>
    <w:p>
      <w:pPr>
        <w:numPr>
          <w:ilvl w:val="0"/>
          <w:numId w:val="1002"/>
        </w:numPr>
        <w:pStyle w:val="Compact"/>
      </w:pPr>
      <w:r>
        <w:t xml:space="preserve">Confidentiality: All financial data, records, and information shared during the engagement will be treated with the strictest confidentiality in compliance with Egyptian data protection regulations. A separate Non-Disclosure Agreement (NDA) will be executed prior to commencement.</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(e.g., statutory audit, forensic accounting, or international tax structuring) will be quoted separately at our standard hourly rate of EGP 1,200 per hour for senior</w:t>
      </w:r>
      <w:r>
        <w:t xml:space="preserve"> </w:t>
      </w:r>
      <w:r>
        <w:t xml:space="preserve">Accountant</w:t>
      </w:r>
      <w:r>
        <w:t xml:space="preserve"> </w:t>
      </w:r>
      <w:r>
        <w:t xml:space="preserve">staff.</w:t>
      </w:r>
    </w:p>
    <w:p>
      <w:pPr>
        <w:numPr>
          <w:ilvl w:val="0"/>
          <w:numId w:val="1002"/>
        </w:numPr>
        <w:pStyle w:val="Compact"/>
      </w:pPr>
      <w:r>
        <w:t xml:space="preserve">Governing law: This agreement and this</w:t>
      </w:r>
      <w:r>
        <w:t xml:space="preserve"> </w:t>
      </w:r>
      <w:r>
        <w:t xml:space="preserve">Quotation Estimate</w:t>
      </w:r>
      <w:r>
        <w:t xml:space="preserve"> </w:t>
      </w:r>
      <w:r>
        <w:t xml:space="preserve">shall be governed by and construed in accordance with the laws of the Arab Republic of Egypt. Any disputes shall be resolved through the competent courts in Cairo, Egypt.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our</w:t>
      </w:r>
      <w:r>
        <w:t xml:space="preserve"> </w:t>
      </w:r>
      <w:r>
        <w:t xml:space="preserve">Accountant</w:t>
      </w:r>
      <w:r>
        <w:t xml:space="preserve"> </w:t>
      </w:r>
      <w:r>
        <w:t xml:space="preserve">services in</w:t>
      </w:r>
      <w:r>
        <w:t xml:space="preserve"> </w:t>
      </w:r>
      <w:r>
        <w:t xml:space="preserve">Egypt Cairo</w:t>
      </w:r>
      <w:r>
        <w:t xml:space="preserve">. This signature constitutes a binding acceptance of the proposed engagement.</w:t>
      </w:r>
    </w:p>
    <w:p>
      <w:pPr>
        <w:pStyle w:val="BodyText"/>
      </w:pPr>
      <w:r>
        <w:rPr>
          <w:bCs/>
          <w:b/>
        </w:rPr>
        <w:t xml:space="preserve">For Al-Nile Accounting &amp; Financial Solutions</w:t>
      </w:r>
    </w:p>
    <w:p>
      <w:pPr>
        <w:pStyle w:val="BodyText"/>
      </w:pPr>
      <w:r>
        <w:t xml:space="preserve">Name: Ahmed Hassan El-Sayed</w:t>
      </w:r>
      <w:r>
        <w:br/>
      </w:r>
      <w:r>
        <w:t xml:space="preserve">Title: Managing Partner / Senior Accountant</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Al-Nile Accounting &amp; Financial Solutions | 12 Tahrir Square, Downtown, Cairo, Egypt 11511</w:t>
      </w:r>
      <w:r>
        <w:br/>
      </w:r>
      <w:r>
        <w:t xml:space="preserve">Commercial Registration No: 123456 | Tax Registration No: 552-123-456789</w:t>
      </w:r>
      <w:r>
        <w:br/>
      </w:r>
      <w:r>
        <w:t xml:space="preserve">This Quotation Estimate is the property of Al-Nile Accounting &amp; Financial Solutions and is issued exclusively for the client named herein.</w:t>
      </w:r>
      <w:r>
        <w:br/>
      </w:r>
      <w:r>
        <w:t xml:space="preserve">© 2025 Al-Nile Accounting &amp; Financial Solutions.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Egypt Cairo</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