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Accountant Services — France Paris</w:t>
      </w:r>
    </w:p>
    <w:p>
      <w:pPr>
        <w:pStyle w:val="BodyText"/>
      </w:pPr>
      <w:r>
        <w:t xml:space="preserve">Ref: QE-2025-0847 | Issued: 15 June 2025</w:t>
      </w:r>
    </w:p>
    <w:bookmarkEnd w:id="20"/>
    <w:p>
      <w:pPr>
        <w:pStyle w:val="BodyText"/>
      </w:pPr>
      <w:r>
        <w:rPr>
          <w:bCs/>
          <w:b/>
        </w:rPr>
        <w:t xml:space="preserve">Prepared By:</w:t>
      </w:r>
      <w:r>
        <w:br/>
      </w:r>
      <w:r>
        <w:t xml:space="preserve">Maitre Laurent Dubois &amp; Associés</w:t>
      </w:r>
      <w:r>
        <w:br/>
      </w:r>
      <w:r>
        <w:t xml:space="preserve">42 Avenue des Champs-Élysées</w:t>
      </w:r>
      <w:r>
        <w:br/>
      </w:r>
      <w:r>
        <w:t xml:space="preserve">75008 Paris, France</w:t>
      </w:r>
      <w:r>
        <w:br/>
      </w:r>
      <w:r>
        <w:t xml:space="preserve">Tel: +33 1 42 68 33 21</w:t>
      </w:r>
      <w:r>
        <w:br/>
      </w:r>
      <w:r>
        <w:t xml:space="preserve">Email: contact@ld-associates.fr</w:t>
      </w:r>
      <w:r>
        <w:br/>
      </w:r>
      <w:r>
        <w:t xml:space="preserve">SIRET: 842 567 391 00027</w:t>
      </w:r>
    </w:p>
    <w:p>
      <w:pPr>
        <w:pStyle w:val="BodyText"/>
      </w:pPr>
      <w:r>
        <w:rPr>
          <w:bCs/>
          <w:b/>
        </w:rPr>
        <w:t xml:space="preserve">Prepared For:</w:t>
      </w:r>
      <w:r>
        <w:br/>
      </w:r>
      <w:r>
        <w:t xml:space="preserve">Madame Sophie Renard</w:t>
      </w:r>
      <w:r>
        <w:br/>
      </w:r>
      <w:r>
        <w:t xml:space="preserve">Renard Consulting SARL</w:t>
      </w:r>
      <w:r>
        <w:br/>
      </w:r>
      <w:r>
        <w:t xml:space="preserve">18 Rue de Rivoli</w:t>
      </w:r>
      <w:r>
        <w:br/>
      </w:r>
      <w:r>
        <w:t xml:space="preserve">75001 Paris, France</w:t>
      </w:r>
      <w:r>
        <w:br/>
      </w:r>
      <w:r>
        <w:t xml:space="preserve">Tel: +33 1 44 55 67 89</w:t>
      </w:r>
      <w:r>
        <w:br/>
      </w:r>
      <w:r>
        <w:t xml:space="preserve">Email: s.renard@renard-consulting.fr</w:t>
      </w:r>
      <w:r>
        <w:br/>
      </w:r>
      <w:r>
        <w:t xml:space="preserve">SIRET: 791 234 567 00012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Maitre Laurent Dubois &amp; Associés, a registered and certified</w:t>
      </w:r>
      <w:r>
        <w:t xml:space="preserve"> </w:t>
      </w:r>
      <w:r>
        <w:t xml:space="preserve">Accountant</w:t>
      </w:r>
      <w:r>
        <w:t xml:space="preserve"> </w:t>
      </w:r>
      <w:r>
        <w:t xml:space="preserve">firm operating in</w:t>
      </w:r>
      <w:r>
        <w:t xml:space="preserve"> </w:t>
      </w:r>
      <w:r>
        <w:t xml:space="preserve">France Paris</w:t>
      </w:r>
      <w:r>
        <w:t xml:space="preserve">, in response to the formal request submitted by Renard Consulting SARL on 28 May 2025. The purpose of this document is to provide a comprehensive, itemised breakdown of the professional accounting services that our</w:t>
      </w:r>
      <w:r>
        <w:t xml:space="preserve"> </w:t>
      </w:r>
      <w:r>
        <w:t xml:space="preserve">Accountant</w:t>
      </w:r>
      <w:r>
        <w:t xml:space="preserve"> </w:t>
      </w:r>
      <w:r>
        <w:t xml:space="preserve">team will deliver to the client throughout the fiscal year 2025–2026, in full compliance with the French Commercial Code (Code de commerce), the General Tax Code (Code général des impôts), and the regulations governing the profession of</w:t>
      </w:r>
      <w:r>
        <w:t xml:space="preserve"> </w:t>
      </w:r>
      <w:r>
        <w:t xml:space="preserve">Accountant</w:t>
      </w:r>
      <w:r>
        <w:t xml:space="preserve"> </w:t>
      </w:r>
      <w:r>
        <w:t xml:space="preserve">as set forth by the Compagnie Régionale des Experts-Comptables de Paris (CREC Paris).</w:t>
      </w:r>
    </w:p>
    <w:bookmarkEnd w:id="21"/>
    <w:bookmarkStart w:id="22" w:name="scope-of-accountant-services"/>
    <w:p>
      <w:pPr>
        <w:pStyle w:val="Heading2"/>
      </w:pPr>
      <w:r>
        <w:t xml:space="preserve">2. Scope of Accountant Services</w:t>
      </w:r>
    </w:p>
    <w:p>
      <w:pPr>
        <w:pStyle w:val="FirstParagraph"/>
      </w:pPr>
      <w:r>
        <w:t xml:space="preserve">The following services constitute the complete engagement scope for which this</w:t>
      </w:r>
      <w:r>
        <w:t xml:space="preserve"> </w:t>
      </w:r>
      <w:r>
        <w:t xml:space="preserve">Quotation Estimate</w:t>
      </w:r>
      <w:r>
        <w:t xml:space="preserve"> </w:t>
      </w:r>
      <w:r>
        <w:t xml:space="preserve">is issued. All services will be performed by a qualified</w:t>
      </w:r>
      <w:r>
        <w:t xml:space="preserve"> </w:t>
      </w:r>
      <w:r>
        <w:t xml:space="preserve">Accountant</w:t>
      </w:r>
      <w:r>
        <w:t xml:space="preserve"> </w:t>
      </w:r>
      <w:r>
        <w:t xml:space="preserve">or a team of</w:t>
      </w:r>
      <w:r>
        <w:t xml:space="preserve"> </w:t>
      </w:r>
      <w:r>
        <w:t xml:space="preserve">Accountant</w:t>
      </w:r>
      <w:r>
        <w:t xml:space="preserve"> </w:t>
      </w:r>
      <w:r>
        <w:t xml:space="preserve">professionals based in our offices in</w:t>
      </w:r>
      <w:r>
        <w:t xml:space="preserve"> </w:t>
      </w:r>
      <w:r>
        <w:t xml:space="preserve">France Paris</w:t>
      </w:r>
      <w:r>
        <w:t xml:space="preserve">, ensuring direct access to local regulatory expertise, tax authorities, and the Chambre des Experts-Comptables de Paris.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Fee (EUR, excl. VAT)</w:t>
            </w:r>
          </w:p>
        </w:tc>
      </w:tr>
      <w:tr>
        <w:tc>
          <w:tcPr/>
          <w:p>
            <w:pPr>
              <w:pStyle w:val="Compact"/>
              <w:jc w:val="left"/>
            </w:pPr>
            <w:r>
              <w:t xml:space="preserve">01</w:t>
            </w:r>
          </w:p>
        </w:tc>
        <w:tc>
          <w:tcPr/>
          <w:p>
            <w:pPr>
              <w:pStyle w:val="Compact"/>
              <w:jc w:val="left"/>
            </w:pPr>
            <w:r>
              <w:t xml:space="preserve">Monthly bookkeeping and general ledger maintenance (comptabilité générale) in accordance with French GAAP (PCG)</w:t>
            </w:r>
          </w:p>
        </w:tc>
        <w:tc>
          <w:tcPr/>
          <w:p>
            <w:pPr>
              <w:pStyle w:val="Compact"/>
              <w:jc w:val="left"/>
            </w:pPr>
            <w:r>
              <w:t xml:space="preserve">Monthly (12x)</w:t>
            </w:r>
          </w:p>
        </w:tc>
        <w:tc>
          <w:tcPr/>
          <w:p>
            <w:pPr>
              <w:pStyle w:val="Compact"/>
              <w:jc w:val="left"/>
            </w:pPr>
            <w:r>
              <w:t xml:space="preserve">8 hours/month</w:t>
            </w:r>
          </w:p>
        </w:tc>
        <w:tc>
          <w:tcPr/>
          <w:p>
            <w:pPr>
              <w:pStyle w:val="Compact"/>
              <w:jc w:val="left"/>
            </w:pPr>
            <w:r>
              <w:t xml:space="preserve">€ 1,200.00</w:t>
            </w:r>
          </w:p>
        </w:tc>
      </w:tr>
      <w:tr>
        <w:tc>
          <w:tcPr/>
          <w:p>
            <w:pPr>
              <w:pStyle w:val="Compact"/>
              <w:jc w:val="left"/>
            </w:pPr>
            <w:r>
              <w:t xml:space="preserve">02</w:t>
            </w:r>
          </w:p>
        </w:tc>
        <w:tc>
          <w:tcPr/>
          <w:p>
            <w:pPr>
              <w:pStyle w:val="Compact"/>
              <w:jc w:val="left"/>
            </w:pPr>
            <w:r>
              <w:t xml:space="preserve">Preparation and filing of monthly VAT returns (TVA) with the Direction Générale des Finances Publiques (DGFiP)</w:t>
            </w:r>
          </w:p>
        </w:tc>
        <w:tc>
          <w:tcPr/>
          <w:p>
            <w:pPr>
              <w:pStyle w:val="Compact"/>
              <w:jc w:val="left"/>
            </w:pPr>
            <w:r>
              <w:t xml:space="preserve">Monthly (12x)</w:t>
            </w:r>
          </w:p>
        </w:tc>
        <w:tc>
          <w:tcPr/>
          <w:p>
            <w:pPr>
              <w:pStyle w:val="Compact"/>
              <w:jc w:val="left"/>
            </w:pPr>
            <w:r>
              <w:t xml:space="preserve">3 hours/month</w:t>
            </w:r>
          </w:p>
        </w:tc>
        <w:tc>
          <w:tcPr/>
          <w:p>
            <w:pPr>
              <w:pStyle w:val="Compact"/>
              <w:jc w:val="left"/>
            </w:pPr>
            <w:r>
              <w:t xml:space="preserve">€ 480.00</w:t>
            </w:r>
          </w:p>
        </w:tc>
      </w:tr>
      <w:tr>
        <w:tc>
          <w:tcPr/>
          <w:p>
            <w:pPr>
              <w:pStyle w:val="Compact"/>
              <w:jc w:val="left"/>
            </w:pPr>
            <w:r>
              <w:t xml:space="preserve">03</w:t>
            </w:r>
          </w:p>
        </w:tc>
        <w:tc>
          <w:tcPr/>
          <w:p>
            <w:pPr>
              <w:pStyle w:val="Compact"/>
              <w:jc w:val="left"/>
            </w:pPr>
            <w:r>
              <w:t xml:space="preserve">Annual financial statements preparation (bilan, compte de résultat, annexe) and statutory audit coordination</w:t>
            </w:r>
          </w:p>
        </w:tc>
        <w:tc>
          <w:tcPr/>
          <w:p>
            <w:pPr>
              <w:pStyle w:val="Compact"/>
              <w:jc w:val="left"/>
            </w:pPr>
            <w:r>
              <w:t xml:space="preserve">Annual (1x)</w:t>
            </w:r>
          </w:p>
        </w:tc>
        <w:tc>
          <w:tcPr/>
          <w:p>
            <w:pPr>
              <w:pStyle w:val="Compact"/>
              <w:jc w:val="left"/>
            </w:pPr>
            <w:r>
              <w:t xml:space="preserve">40 hours</w:t>
            </w:r>
          </w:p>
        </w:tc>
        <w:tc>
          <w:tcPr/>
          <w:p>
            <w:pPr>
              <w:pStyle w:val="Compact"/>
              <w:jc w:val="left"/>
            </w:pPr>
            <w:r>
              <w:t xml:space="preserve">€ 4,800.00</w:t>
            </w:r>
          </w:p>
        </w:tc>
      </w:tr>
      <w:tr>
        <w:tc>
          <w:tcPr/>
          <w:p>
            <w:pPr>
              <w:pStyle w:val="Compact"/>
              <w:jc w:val="left"/>
            </w:pPr>
            <w:r>
              <w:t xml:space="preserve">04</w:t>
            </w:r>
          </w:p>
        </w:tc>
        <w:tc>
          <w:tcPr/>
          <w:p>
            <w:pPr>
              <w:pStyle w:val="Compact"/>
              <w:jc w:val="left"/>
            </w:pPr>
            <w:r>
              <w:t xml:space="preserve">Corporate income tax (IS) and personal income tax (IR) return preparation and filing</w:t>
            </w:r>
          </w:p>
        </w:tc>
        <w:tc>
          <w:tcPr/>
          <w:p>
            <w:pPr>
              <w:pStyle w:val="Compact"/>
              <w:jc w:val="left"/>
            </w:pPr>
            <w:r>
              <w:t xml:space="preserve">Annual (1x)</w:t>
            </w:r>
          </w:p>
        </w:tc>
        <w:tc>
          <w:tcPr/>
          <w:p>
            <w:pPr>
              <w:pStyle w:val="Compact"/>
              <w:jc w:val="left"/>
            </w:pPr>
            <w:r>
              <w:t xml:space="preserve">25 hours</w:t>
            </w:r>
          </w:p>
        </w:tc>
        <w:tc>
          <w:tcPr/>
          <w:p>
            <w:pPr>
              <w:pStyle w:val="Compact"/>
              <w:jc w:val="left"/>
            </w:pPr>
            <w:r>
              <w:t xml:space="preserve">€ 3,000.00</w:t>
            </w:r>
          </w:p>
        </w:tc>
      </w:tr>
      <w:tr>
        <w:tc>
          <w:tcPr/>
          <w:p>
            <w:pPr>
              <w:pStyle w:val="Compact"/>
              <w:jc w:val="left"/>
            </w:pPr>
            <w:r>
              <w:t xml:space="preserve">05</w:t>
            </w:r>
          </w:p>
        </w:tc>
        <w:tc>
          <w:tcPr/>
          <w:p>
            <w:pPr>
              <w:pStyle w:val="Compact"/>
              <w:jc w:val="left"/>
            </w:pPr>
            <w:r>
              <w:t xml:space="preserve">Payroll administration (paie) for up to 15 employees, including URSSAF declarations, DSN, and social security compliance</w:t>
            </w:r>
          </w:p>
        </w:tc>
        <w:tc>
          <w:tcPr/>
          <w:p>
            <w:pPr>
              <w:pStyle w:val="Compact"/>
              <w:jc w:val="left"/>
            </w:pPr>
            <w:r>
              <w:t xml:space="preserve">Monthly (12x)</w:t>
            </w:r>
          </w:p>
        </w:tc>
        <w:tc>
          <w:tcPr/>
          <w:p>
            <w:pPr>
              <w:pStyle w:val="Compact"/>
              <w:jc w:val="left"/>
            </w:pPr>
            <w:r>
              <w:t xml:space="preserve">6 hours/month</w:t>
            </w:r>
          </w:p>
        </w:tc>
        <w:tc>
          <w:tcPr/>
          <w:p>
            <w:pPr>
              <w:pStyle w:val="Compact"/>
              <w:jc w:val="left"/>
            </w:pPr>
            <w:r>
              <w:t xml:space="preserve">€ 960.00</w:t>
            </w:r>
          </w:p>
        </w:tc>
      </w:tr>
      <w:tr>
        <w:tc>
          <w:tcPr/>
          <w:p>
            <w:pPr>
              <w:pStyle w:val="Compact"/>
              <w:jc w:val="left"/>
            </w:pPr>
            <w:r>
              <w:t xml:space="preserve">06</w:t>
            </w:r>
          </w:p>
        </w:tc>
        <w:tc>
          <w:tcPr/>
          <w:p>
            <w:pPr>
              <w:pStyle w:val="Compact"/>
              <w:jc w:val="left"/>
            </w:pPr>
            <w:r>
              <w:t xml:space="preserve">Tax advisory and strategic planning sessions with the lead</w:t>
            </w:r>
            <w:r>
              <w:t xml:space="preserve"> </w:t>
            </w:r>
            <w:r>
              <w:t xml:space="preserve">Accountant</w:t>
            </w:r>
          </w:p>
        </w:tc>
        <w:tc>
          <w:tcPr/>
          <w:p>
            <w:pPr>
              <w:pStyle w:val="Compact"/>
              <w:jc w:val="left"/>
            </w:pPr>
            <w:r>
              <w:t xml:space="preserve">Quarterly (4x)</w:t>
            </w:r>
          </w:p>
        </w:tc>
        <w:tc>
          <w:tcPr/>
          <w:p>
            <w:pPr>
              <w:pStyle w:val="Compact"/>
              <w:jc w:val="left"/>
            </w:pPr>
            <w:r>
              <w:t xml:space="preserve">4 hours/session</w:t>
            </w:r>
          </w:p>
        </w:tc>
        <w:tc>
          <w:tcPr/>
          <w:p>
            <w:pPr>
              <w:pStyle w:val="Compact"/>
              <w:jc w:val="left"/>
            </w:pPr>
            <w:r>
              <w:t xml:space="preserve">€ 2,400.00</w:t>
            </w:r>
          </w:p>
        </w:tc>
      </w:tr>
      <w:tr>
        <w:tc>
          <w:tcPr/>
          <w:p>
            <w:pPr>
              <w:pStyle w:val="Compact"/>
              <w:jc w:val="left"/>
            </w:pPr>
            <w:r>
              <w:t xml:space="preserve">07</w:t>
            </w:r>
          </w:p>
        </w:tc>
        <w:tc>
          <w:tcPr/>
          <w:p>
            <w:pPr>
              <w:pStyle w:val="Compact"/>
              <w:jc w:val="left"/>
            </w:pPr>
            <w:r>
              <w:t xml:space="preserve">Representation before the French tax authorities (contrôle fiscal) and preparation of defence dossiers</w:t>
            </w:r>
          </w:p>
        </w:tc>
        <w:tc>
          <w:tcPr/>
          <w:p>
            <w:pPr>
              <w:pStyle w:val="Compact"/>
              <w:jc w:val="left"/>
            </w:pPr>
            <w:r>
              <w:t xml:space="preserve">As needed</w:t>
            </w:r>
          </w:p>
        </w:tc>
        <w:tc>
          <w:tcPr/>
          <w:p>
            <w:pPr>
              <w:pStyle w:val="Compact"/>
              <w:jc w:val="left"/>
            </w:pPr>
            <w:r>
              <w:t xml:space="preserve">Up to 20 hours</w:t>
            </w:r>
          </w:p>
        </w:tc>
        <w:tc>
          <w:tcPr/>
          <w:p>
            <w:pPr>
              <w:pStyle w:val="Compact"/>
              <w:jc w:val="left"/>
            </w:pPr>
            <w:r>
              <w:t xml:space="preserve">€ 2,500.00</w:t>
            </w:r>
          </w:p>
        </w:tc>
      </w:tr>
      <w:tr>
        <w:tc>
          <w:tcPr/>
          <w:p>
            <w:pPr>
              <w:pStyle w:val="Compact"/>
              <w:jc w:val="left"/>
            </w:pPr>
            <w:r>
              <w:t xml:space="preserve">08</w:t>
            </w:r>
          </w:p>
        </w:tc>
        <w:tc>
          <w:tcPr/>
          <w:p>
            <w:pPr>
              <w:pStyle w:val="Compact"/>
              <w:jc w:val="left"/>
            </w:pPr>
            <w:r>
              <w:t xml:space="preserve">Management of statutory declarations to the Registre du Commerce et des Sociétés (RCS) and INPI</w:t>
            </w:r>
          </w:p>
        </w:tc>
        <w:tc>
          <w:tcPr/>
          <w:p>
            <w:pPr>
              <w:pStyle w:val="Compact"/>
              <w:jc w:val="left"/>
            </w:pPr>
            <w:r>
              <w:t xml:space="preserve">Annual (1x)</w:t>
            </w:r>
          </w:p>
        </w:tc>
        <w:tc>
          <w:tcPr/>
          <w:p>
            <w:pPr>
              <w:pStyle w:val="Compact"/>
              <w:jc w:val="left"/>
            </w:pPr>
            <w:r>
              <w:t xml:space="preserve">6 hours</w:t>
            </w:r>
          </w:p>
        </w:tc>
        <w:tc>
          <w:tcPr/>
          <w:p>
            <w:pPr>
              <w:pStyle w:val="Compact"/>
              <w:jc w:val="left"/>
            </w:pPr>
            <w:r>
              <w:t xml:space="preserve">€ 720.00</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Professional Accountant Services</w:t>
            </w:r>
          </w:p>
        </w:tc>
        <w:tc>
          <w:tcPr/>
          <w:p>
            <w:pPr>
              <w:pStyle w:val="Compact"/>
              <w:jc w:val="left"/>
            </w:pPr>
            <w:r>
              <w:t xml:space="preserve">€ 28,060.00</w:t>
            </w:r>
          </w:p>
        </w:tc>
      </w:tr>
      <w:tr>
        <w:tc>
          <w:tcPr/>
          <w:p>
            <w:pPr>
              <w:pStyle w:val="Compact"/>
              <w:jc w:val="left"/>
            </w:pPr>
            <w:r>
              <w:t xml:space="preserve">VAT (TVA) at 20% (applicable in France Paris)</w:t>
            </w:r>
          </w:p>
        </w:tc>
        <w:tc>
          <w:tcPr/>
          <w:p>
            <w:pPr>
              <w:pStyle w:val="Compact"/>
              <w:jc w:val="left"/>
            </w:pPr>
            <w:r>
              <w:t xml:space="preserve">€ 5,612.00</w:t>
            </w:r>
          </w:p>
        </w:tc>
      </w:tr>
      <w:tr>
        <w:tc>
          <w:tcPr/>
          <w:p>
            <w:pPr>
              <w:pStyle w:val="Compact"/>
              <w:jc w:val="left"/>
            </w:pPr>
            <w:r>
              <w:t xml:space="preserve">Total Amount Due (TTC)</w:t>
            </w:r>
          </w:p>
        </w:tc>
        <w:tc>
          <w:tcPr/>
          <w:p>
            <w:pPr>
              <w:pStyle w:val="Compact"/>
              <w:jc w:val="left"/>
            </w:pPr>
            <w:r>
              <w:t xml:space="preserve">€ 33,672.00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a period of sixty (60) calendar days from the date of issue. All fees are quoted in Euros (EUR) and are exclusive of any third-party costs (filing fees, stamp duties, translation costs) which will be invoiced at actual expense. The</w:t>
      </w:r>
      <w:r>
        <w:t xml:space="preserve"> </w:t>
      </w:r>
      <w:r>
        <w:t xml:space="preserve">Accountant</w:t>
      </w:r>
      <w:r>
        <w:t xml:space="preserve"> </w:t>
      </w:r>
      <w:r>
        <w:t xml:space="preserve">engagement is governed by the professional rules of the Ordre des Experts-Comptables and the French Civil Code.</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by bank transfer (virement bancaire) to the account of Maitre Laurent Dubois &amp; Associés, IBAN: FR76 3000 4000 0312 3456 7890 123, BIC: BNPAFRPP. Invoices will be issued monthly within ten (10) business days following the completion of each service period. Payment is due within thirty (30) days of the invoice date. Late payments shall incur statutory interest at the rate prescribed by Article L441-10 of the French Commercial Code, plus a fixed penalty of €40 for recovery costs.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does not constitute a binding contract until formally accepted in writing by both parties. Acceptance may be provided by signing and returning a copy of this document or by issuing a purchase order referencing Quotation Estimate Ref QE-2025-0847.</w:t>
      </w:r>
    </w:p>
    <w:p>
      <w:pPr>
        <w:pStyle w:val="BodyText"/>
      </w:pPr>
      <w:r>
        <w:rPr>
          <w:bCs/>
          <w:b/>
        </w:rPr>
        <w:t xml:space="preserve">5.2</w:t>
      </w:r>
      <w:r>
        <w:t xml:space="preserve"> </w:t>
      </w:r>
      <w:r>
        <w:t xml:space="preserve">— The</w:t>
      </w:r>
      <w:r>
        <w:t xml:space="preserve"> </w:t>
      </w:r>
      <w:r>
        <w:t xml:space="preserve">Accountant</w:t>
      </w:r>
      <w:r>
        <w:t xml:space="preserve"> </w:t>
      </w:r>
      <w:r>
        <w:t xml:space="preserve">firm shall maintain professional indemnity insurance in accordance with the requirements of the Compagnie Régionale des Experts-Comptables de Paris and shall provide a certificate of insurance upon request.</w:t>
      </w:r>
    </w:p>
    <w:p>
      <w:pPr>
        <w:pStyle w:val="BodyText"/>
      </w:pPr>
      <w:r>
        <w:rPr>
          <w:bCs/>
          <w:b/>
        </w:rPr>
        <w:t xml:space="preserve">5.3</w:t>
      </w:r>
      <w:r>
        <w:t xml:space="preserve"> </w:t>
      </w:r>
      <w:r>
        <w:t xml:space="preserve">— All work performed under this engagement shall be carried out in strict compliance with the professional secrecy obligations (secret professionnel) as defined in Article 226-13 of the French Penal Code and the deontological rules of the</w:t>
      </w:r>
      <w:r>
        <w:t xml:space="preserve"> </w:t>
      </w:r>
      <w:r>
        <w:t xml:space="preserve">Accountant</w:t>
      </w:r>
      <w:r>
        <w:t xml:space="preserve"> </w:t>
      </w:r>
      <w:r>
        <w:t xml:space="preserve">profession in France.</w:t>
      </w:r>
    </w:p>
    <w:p>
      <w:pPr>
        <w:pStyle w:val="BodyText"/>
      </w:pPr>
      <w:r>
        <w:rPr>
          <w:bCs/>
          <w:b/>
        </w:rPr>
        <w:t xml:space="preserve">5.4</w:t>
      </w:r>
      <w:r>
        <w:t xml:space="preserve"> </w:t>
      </w:r>
      <w:r>
        <w:t xml:space="preserve">— The client agrees to provide all necessary documentation, access to accounting software, and timely responses to the</w:t>
      </w:r>
      <w:r>
        <w:t xml:space="preserve"> </w:t>
      </w:r>
      <w:r>
        <w:t xml:space="preserve">Accountant</w:t>
      </w:r>
      <w:r>
        <w:t xml:space="preserve"> </w:t>
      </w:r>
      <w:r>
        <w:t xml:space="preserve">team to ensure the uninterrupted delivery of services in</w:t>
      </w:r>
      <w:r>
        <w:t xml:space="preserve"> </w:t>
      </w:r>
      <w:r>
        <w:t xml:space="preserve">France Paris</w:t>
      </w:r>
      <w:r>
        <w:t xml:space="preserve">.</w:t>
      </w:r>
    </w:p>
    <w:p>
      <w:pPr>
        <w:pStyle w:val="BodyText"/>
      </w:pPr>
      <w:r>
        <w:rPr>
          <w:bCs/>
          <w:b/>
        </w:rPr>
        <w:t xml:space="preserve">5.5</w:t>
      </w:r>
      <w:r>
        <w:t xml:space="preserve"> </w:t>
      </w:r>
      <w:r>
        <w:t xml:space="preserve">— Either party may terminate this engagement with a written notice of sixty (60) days. In the event of early termination, fees for services already rendered shall remain due and payable.</w:t>
      </w:r>
    </w:p>
    <w:p>
      <w:pPr>
        <w:pStyle w:val="BodyText"/>
      </w:pPr>
      <w:r>
        <w:rPr>
          <w:bCs/>
          <w:b/>
        </w:rPr>
        <w:t xml:space="preserve">5.6</w:t>
      </w:r>
      <w:r>
        <w:t xml:space="preserve"> </w:t>
      </w:r>
      <w:r>
        <w:t xml:space="preserve">— This</w:t>
      </w:r>
      <w:r>
        <w:t xml:space="preserve"> </w:t>
      </w:r>
      <w:r>
        <w:t xml:space="preserve">Quotation Estimate</w:t>
      </w:r>
      <w:r>
        <w:t xml:space="preserve"> </w:t>
      </w:r>
      <w:r>
        <w:t xml:space="preserve">and the resulting engagement shall be governed by the laws of the French Republic. Any dispute shall be submitted to the exclusive jurisdiction of the Tribunal de Commerce de Paris.</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Accountant</w:t>
      </w:r>
      <w:r>
        <w:t xml:space="preserve"> </w:t>
      </w:r>
      <w:r>
        <w:t xml:space="preserve">services to be delivered in</w:t>
      </w:r>
      <w:r>
        <w:t xml:space="preserve"> </w:t>
      </w:r>
      <w:r>
        <w:t xml:space="preserve">France Paris</w:t>
      </w:r>
      <w:r>
        <w:t xml:space="preserve">.</w:t>
      </w:r>
    </w:p>
    <w:p>
      <w:pPr>
        <w:pStyle w:val="BodyText"/>
      </w:pPr>
      <w:r>
        <w:rPr>
          <w:bCs/>
          <w:b/>
        </w:rPr>
        <w:t xml:space="preserve">For Maitre Laurent Dubois &amp; Associés</w:t>
      </w:r>
    </w:p>
    <w:p>
      <w:pPr>
        <w:pStyle w:val="BodyText"/>
      </w:pPr>
      <w:r>
        <w:t xml:space="preserve">Maitre Laurent Dubois</w:t>
      </w:r>
      <w:r>
        <w:br/>
      </w:r>
      <w:r>
        <w:t xml:space="preserve">Expert-Comptable, Commissaire aux Comptes</w:t>
      </w:r>
      <w:r>
        <w:br/>
      </w:r>
      <w:r>
        <w:t xml:space="preserve">Member of CREC Paris</w:t>
      </w:r>
    </w:p>
    <w:p>
      <w:pPr>
        <w:pStyle w:val="BodyText"/>
      </w:pPr>
      <w:r>
        <w:t xml:space="preserve">Signature &amp; Date</w:t>
      </w:r>
    </w:p>
    <w:p>
      <w:pPr>
        <w:pStyle w:val="BodyText"/>
      </w:pPr>
      <w:r>
        <w:rPr>
          <w:bCs/>
          <w:b/>
        </w:rPr>
        <w:t xml:space="preserve">For Renard Consulting SARL</w:t>
      </w:r>
    </w:p>
    <w:p>
      <w:pPr>
        <w:pStyle w:val="BodyText"/>
      </w:pPr>
      <w:r>
        <w:t xml:space="preserve">Madame Sophie Renard</w:t>
      </w:r>
      <w:r>
        <w:br/>
      </w:r>
      <w:r>
        <w:t xml:space="preserve">Directrice Générale</w:t>
      </w:r>
    </w:p>
    <w:p>
      <w:pPr>
        <w:pStyle w:val="BodyText"/>
      </w:pPr>
      <w:r>
        <w:t xml:space="preserve">Signature &amp; Date</w:t>
      </w:r>
    </w:p>
    <w:p>
      <w:pPr>
        <w:pStyle w:val="BodyText"/>
      </w:pPr>
      <w:r>
        <w:t xml:space="preserve">Maitre Laurent Dubois &amp; Associés — 42 Avenue des Champs-Élysées, 75008 Paris, France</w:t>
      </w:r>
      <w:r>
        <w:br/>
      </w:r>
      <w:r>
        <w:t xml:space="preserve">This Quotation Estimate is a confidential document intended solely for the named recipient.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France Paris</dc:title>
  <dc:creator/>
  <dc:language>en</dc:language>
  <cp:keywords/>
  <dcterms:created xsi:type="dcterms:W3CDTF">2026-10-10T06:26:47Z</dcterms:created>
  <dcterms:modified xsi:type="dcterms:W3CDTF">2026-10-10T06:26:47Z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