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Germany Frankfurt – Main Financial District</w:t>
      </w:r>
    </w:p>
    <w:p>
      <w:pPr>
        <w:pStyle w:val="BodyText"/>
      </w:pPr>
      <w:r>
        <w:t xml:space="preserve">Reference No: QTE-FRA-2025-0487</w:t>
      </w:r>
    </w:p>
    <w:bookmarkEnd w:id="20"/>
    <w:bookmarkStart w:id="21" w:name="prepared-by"/>
    <w:p>
      <w:pPr>
        <w:pStyle w:val="Heading3"/>
      </w:pPr>
      <w:r>
        <w:t xml:space="preserve">Prepared By</w:t>
      </w:r>
    </w:p>
    <w:p>
      <w:pPr>
        <w:pStyle w:val="FirstParagraph"/>
      </w:pPr>
      <w:r>
        <w:rPr>
          <w:bCs/>
          <w:b/>
        </w:rPr>
        <w:t xml:space="preserve">Frankfurt Financial Advisory GmbH</w:t>
      </w:r>
    </w:p>
    <w:p>
      <w:pPr>
        <w:pStyle w:val="BodyText"/>
      </w:pPr>
      <w:r>
        <w:t xml:space="preserve">Neue Mainzer Straße 12</w:t>
      </w:r>
    </w:p>
    <w:p>
      <w:pPr>
        <w:pStyle w:val="BodyText"/>
      </w:pPr>
      <w:r>
        <w:t xml:space="preserve">60311 Frankfurt am Main, Germany</w:t>
      </w:r>
    </w:p>
    <w:p>
      <w:pPr>
        <w:pStyle w:val="BodyText"/>
      </w:pPr>
      <w:r>
        <w:t xml:space="preserve">Tel: +49 69 4455 8800</w:t>
      </w:r>
    </w:p>
    <w:p>
      <w:pPr>
        <w:pStyle w:val="BodyText"/>
      </w:pPr>
      <w:r>
        <w:t xml:space="preserve">Email: estimates@ffadvisory.de</w:t>
      </w:r>
    </w:p>
    <w:p>
      <w:pPr>
        <w:pStyle w:val="BodyText"/>
      </w:pPr>
      <w:r>
        <w:t xml:space="preserve">USt-IdNr: DE312456789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rPr>
          <w:bCs/>
          <w:b/>
        </w:rPr>
        <w:t xml:space="preserve">City:</w:t>
      </w:r>
      <w:r>
        <w:t xml:space="preserve"> </w:t>
      </w:r>
      <w:r>
        <w:t xml:space="preserve">Frankfurt am Main, Germany</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 Email]</w:t>
      </w:r>
    </w:p>
    <w:p>
      <w:pPr>
        <w:pStyle w:val="BodyText"/>
      </w:pPr>
      <w:r>
        <w:rPr>
          <w:bCs/>
          <w:b/>
        </w:rPr>
        <w:t xml:space="preserve">Date of Issue:</w:t>
      </w:r>
      <w:r>
        <w:t xml:space="preserve"> </w:t>
      </w:r>
      <w:r>
        <w:t xml:space="preserve">15 June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professional Accountant services to be rendered in Germany Frankfurt. As a leading provider of financial and accounting solutions in the Frankfurt am Main region, our firm is committed to delivering comprehensive, compliant, and cost-effective Accountant support tailored to the unique regulatory environment of Germany. This document serves as a formal Quotation Estimate and does not constitute a binding contract until both parties have reviewed, agreed upon, and executed the final service agreement.</w:t>
      </w:r>
    </w:p>
    <w:bookmarkEnd w:id="23"/>
    <w:bookmarkStart w:id="24" w:name="scope-of-accountant-services"/>
    <w:p>
      <w:pPr>
        <w:pStyle w:val="Heading2"/>
      </w:pPr>
      <w:r>
        <w:t xml:space="preserve">2. Scope of Accountant Services</w:t>
      </w:r>
    </w:p>
    <w:p>
      <w:pPr>
        <w:pStyle w:val="FirstParagraph"/>
      </w:pPr>
      <w:r>
        <w:t xml:space="preserve">The following Accountant services are included in this Quotation Estimate for the client's operations based in Germany Frankfurt. Our certified Accountant team will ensure full compliance with German commercial law (HGB), tax regulations (AO, EStG, KStG, UStG), and the specific reporting requirements applicable to businesses operating in the Frankfurt financial hub:</w:t>
      </w:r>
    </w:p>
    <w:p>
      <w:pPr>
        <w:numPr>
          <w:ilvl w:val="0"/>
          <w:numId w:val="1001"/>
        </w:numPr>
        <w:pStyle w:val="Compact"/>
      </w:pPr>
      <w:r>
        <w:rPr>
          <w:bCs/>
          <w:b/>
        </w:rPr>
        <w:t xml:space="preserve">Monthly Bookkeeping &amp; General Ledger Maintenance:</w:t>
      </w:r>
      <w:r>
        <w:t xml:space="preserve"> </w:t>
      </w:r>
      <w:r>
        <w:t xml:space="preserve">Complete recording of all financial transactions, accounts receivable, accounts payable, and fixed asset registers in accordance with German accounting standards.</w:t>
      </w:r>
    </w:p>
    <w:p>
      <w:pPr>
        <w:numPr>
          <w:ilvl w:val="0"/>
          <w:numId w:val="1001"/>
        </w:numPr>
        <w:pStyle w:val="Compact"/>
      </w:pPr>
      <w:r>
        <w:rPr>
          <w:bCs/>
          <w:b/>
        </w:rPr>
        <w:t xml:space="preserve">Quarterly VAT (Umsatzsteuer) Filings:</w:t>
      </w:r>
      <w:r>
        <w:t xml:space="preserve"> </w:t>
      </w:r>
      <w:r>
        <w:t xml:space="preserve">Preparation and electronic submission of VAT returns via the ELSTER portal, including intra-community supply declarations relevant to the Germany Frankfurt business environment.</w:t>
      </w:r>
    </w:p>
    <w:p>
      <w:pPr>
        <w:numPr>
          <w:ilvl w:val="0"/>
          <w:numId w:val="1001"/>
        </w:numPr>
        <w:pStyle w:val="Compact"/>
      </w:pPr>
      <w:r>
        <w:rPr>
          <w:bCs/>
          <w:b/>
        </w:rPr>
        <w:t xml:space="preserve">Annual Financial Statements (Jahresabschluss):</w:t>
      </w:r>
      <w:r>
        <w:t xml:space="preserve"> </w:t>
      </w:r>
      <w:r>
        <w:t xml:space="preserve">Preparation of the balance sheet, profit and loss statement, and management report in compliance with HGB and, where applicable, IFRS standards.</w:t>
      </w:r>
    </w:p>
    <w:p>
      <w:pPr>
        <w:numPr>
          <w:ilvl w:val="0"/>
          <w:numId w:val="1001"/>
        </w:numPr>
        <w:pStyle w:val="Compact"/>
      </w:pPr>
      <w:r>
        <w:rPr>
          <w:bCs/>
          <w:b/>
        </w:rPr>
        <w:t xml:space="preserve">Corporate Tax &amp; Income Tax Returns:</w:t>
      </w:r>
      <w:r>
        <w:t xml:space="preserve"> </w:t>
      </w:r>
      <w:r>
        <w:t xml:space="preserve">Filing of annual corporate tax (Körperschaftsteuer), trade tax (Gewerbesteuer), and income tax declarations with the relevant Finanzamt in Frankfurt am Main.</w:t>
      </w:r>
    </w:p>
    <w:p>
      <w:pPr>
        <w:numPr>
          <w:ilvl w:val="0"/>
          <w:numId w:val="1001"/>
        </w:numPr>
        <w:pStyle w:val="Compact"/>
      </w:pPr>
      <w:r>
        <w:rPr>
          <w:bCs/>
          <w:b/>
        </w:rPr>
        <w:t xml:space="preserve">Payroll Accounting &amp; Social Security Reporting:</w:t>
      </w:r>
      <w:r>
        <w:t xml:space="preserve"> </w:t>
      </w:r>
      <w:r>
        <w:t xml:space="preserve">Monthly salary calculations, social security contributions, and Lohnsteueranmeldung for all employees based in Germany Frankfurt.</w:t>
      </w:r>
    </w:p>
    <w:p>
      <w:pPr>
        <w:numPr>
          <w:ilvl w:val="0"/>
          <w:numId w:val="1001"/>
        </w:numPr>
        <w:pStyle w:val="Compact"/>
      </w:pPr>
      <w:r>
        <w:rPr>
          <w:bCs/>
          <w:b/>
        </w:rPr>
        <w:t xml:space="preserve">Advisory &amp; Compliance Support:</w:t>
      </w:r>
      <w:r>
        <w:t xml:space="preserve"> </w:t>
      </w:r>
      <w:r>
        <w:t xml:space="preserve">Ongoing consultation on tax optimisation, audit preparation, and regulatory updates specific to the Germany Frankfurt jurisdiction.</w:t>
      </w:r>
    </w:p>
    <w:bookmarkEnd w:id="24"/>
    <w:bookmarkStart w:id="25" w:name="quotation-estimate-fee-schedule"/>
    <w:p>
      <w:pPr>
        <w:pStyle w:val="Heading2"/>
      </w:pPr>
      <w:r>
        <w:t xml:space="preserve">3. Quotation Estimate – Fee Schedule</w:t>
      </w:r>
    </w:p>
    <w:p>
      <w:pPr>
        <w:pStyle w:val="FirstParagraph"/>
      </w:pPr>
      <w:r>
        <w:t xml:space="preserve">The following table presents the detailed Quotation Estimate for the Accountant services described above. All fees are quoted in Euro (EUR) and are exclusive of applicable German Value Added Tax (Umsatzsteuer) at the standard rate of 19%,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Bookkeeping &amp; General Ledger</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€ 1,250.00</w:t>
            </w:r>
          </w:p>
        </w:tc>
        <w:tc>
          <w:tcPr/>
          <w:p>
            <w:pPr>
              <w:pStyle w:val="Compact"/>
              <w:jc w:val="left"/>
            </w:pPr>
            <w:r>
              <w:t xml:space="preserve">€ 15,000.00</w:t>
            </w:r>
          </w:p>
        </w:tc>
      </w:tr>
      <w:tr>
        <w:tc>
          <w:tcPr/>
          <w:p>
            <w:pPr>
              <w:pStyle w:val="Compact"/>
              <w:jc w:val="left"/>
            </w:pPr>
            <w:r>
              <w:t xml:space="preserve">2</w:t>
            </w:r>
          </w:p>
        </w:tc>
        <w:tc>
          <w:tcPr/>
          <w:p>
            <w:pPr>
              <w:pStyle w:val="Compact"/>
              <w:jc w:val="left"/>
            </w:pPr>
            <w:r>
              <w:t xml:space="preserve">Quarterly VAT Filings (USt-Voranmeldung)</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3</w:t>
            </w:r>
          </w:p>
        </w:tc>
        <w:tc>
          <w:tcPr/>
          <w:p>
            <w:pPr>
              <w:pStyle w:val="Compact"/>
              <w:jc w:val="left"/>
            </w:pPr>
            <w:r>
              <w:t xml:space="preserve">Annual Financial Statements (Jahresabschluss)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4</w:t>
            </w:r>
          </w:p>
        </w:tc>
        <w:tc>
          <w:tcPr/>
          <w:p>
            <w:pPr>
              <w:pStyle w:val="Compact"/>
              <w:jc w:val="left"/>
            </w:pPr>
            <w:r>
              <w:t xml:space="preserve">Corporate &amp; Trade Tax Returns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5</w:t>
            </w:r>
          </w:p>
        </w:tc>
        <w:tc>
          <w:tcPr/>
          <w:p>
            <w:pPr>
              <w:pStyle w:val="Compact"/>
              <w:jc w:val="left"/>
            </w:pPr>
            <w:r>
              <w:t xml:space="preserve">Payroll Accounting (up to 25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6</w:t>
            </w:r>
          </w:p>
        </w:tc>
        <w:tc>
          <w:tcPr/>
          <w:p>
            <w:pPr>
              <w:pStyle w:val="Compact"/>
              <w:jc w:val="left"/>
            </w:pPr>
            <w:r>
              <w:t xml:space="preserve">Advisory &amp; Compliance Consultation</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€ 600.00</w:t>
            </w:r>
          </w:p>
        </w:tc>
        <w:tc>
          <w:tcPr/>
          <w:p>
            <w:pPr>
              <w:pStyle w:val="Compact"/>
              <w:jc w:val="left"/>
            </w:pPr>
            <w:r>
              <w:t xml:space="preserve">€ 7,200.00</w:t>
            </w:r>
          </w:p>
        </w:tc>
      </w:tr>
      <w:tr>
        <w:tc>
          <w:tcPr/>
          <w:p>
            <w:pPr>
              <w:pStyle w:val="Compact"/>
              <w:jc w:val="left"/>
            </w:pPr>
            <w:r>
              <w:t xml:space="preserve">7</w:t>
            </w:r>
          </w:p>
        </w:tc>
        <w:tc>
          <w:tcPr/>
          <w:p>
            <w:pPr>
              <w:pStyle w:val="Compact"/>
              <w:jc w:val="left"/>
            </w:pPr>
            <w:r>
              <w:t xml:space="preserve">ELSTER &amp; Digital Filing Administration</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gridSpan w:val="5"/>
          </w:tcPr>
          <w:p>
            <w:pPr>
              <w:pStyle w:val="Compact"/>
              <w:jc w:val="right"/>
            </w:pPr>
            <w:r>
              <w:t xml:space="preserve">Subtotal (excl. VAT)</w:t>
            </w:r>
          </w:p>
        </w:tc>
        <w:tc>
          <w:tcPr/>
          <w:p>
            <w:pPr>
              <w:pStyle w:val="Compact"/>
              <w:jc w:val="left"/>
            </w:pPr>
            <w:r>
              <w:t xml:space="preserve">€ 42,250.00</w:t>
            </w:r>
          </w:p>
        </w:tc>
      </w:tr>
      <w:tr>
        <w:tc>
          <w:tcPr>
            <w:gridSpan w:val="5"/>
          </w:tcPr>
          <w:p>
            <w:pPr>
              <w:pStyle w:val="Compact"/>
              <w:jc w:val="right"/>
            </w:pPr>
            <w:r>
              <w:t xml:space="preserve">Umsatzsteuer (19%)</w:t>
            </w:r>
          </w:p>
        </w:tc>
        <w:tc>
          <w:tcPr/>
          <w:p>
            <w:pPr>
              <w:pStyle w:val="Compact"/>
              <w:jc w:val="left"/>
            </w:pPr>
            <w:r>
              <w:t xml:space="preserve">€ 8,027.50</w:t>
            </w:r>
          </w:p>
        </w:tc>
      </w:tr>
      <w:tr>
        <w:tc>
          <w:tcPr>
            <w:gridSpan w:val="5"/>
          </w:tcPr>
          <w:p>
            <w:pPr>
              <w:pStyle w:val="Compact"/>
              <w:jc w:val="right"/>
            </w:pPr>
            <w:r>
              <w:t xml:space="preserve">Total Quotation Estimate (incl. VAT)</w:t>
            </w:r>
          </w:p>
        </w:tc>
        <w:tc>
          <w:tcPr/>
          <w:p>
            <w:pPr>
              <w:pStyle w:val="Compact"/>
              <w:jc w:val="left"/>
            </w:pPr>
            <w:r>
              <w:t xml:space="preserve">€ 50,277.50</w:t>
            </w:r>
          </w:p>
        </w:tc>
      </w:tr>
    </w:tbl>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rPr>
          <w:bCs/>
          <w:b/>
        </w:rPr>
        <w:t xml:space="preserve">Validity:</w:t>
      </w:r>
      <w:r>
        <w:t xml:space="preserve"> </w:t>
      </w:r>
      <w:r>
        <w:t xml:space="preserve">This Quotation Estimate is valid for a period of sixty (60) calendar days from the date of issue. After this period, the Accountant service rates may be subject to revision based on market conditions in Germany Frankfurt.</w:t>
      </w:r>
    </w:p>
    <w:p>
      <w:pPr>
        <w:numPr>
          <w:ilvl w:val="0"/>
          <w:numId w:val="1002"/>
        </w:numPr>
        <w:pStyle w:val="Compact"/>
      </w:pPr>
      <w:r>
        <w:rPr>
          <w:bCs/>
          <w:b/>
        </w:rPr>
        <w:t xml:space="preserve">Payment Terms:</w:t>
      </w:r>
      <w:r>
        <w:t xml:space="preserve"> </w:t>
      </w:r>
      <w:r>
        <w:t xml:space="preserve">Invoices for the Accountant services will be issued monthly in arrears. Payment is due within fourteen (14) days of invoice date via bank transfer to our account at a Frankfurt-based German bank.</w:t>
      </w:r>
    </w:p>
    <w:p>
      <w:pPr>
        <w:numPr>
          <w:ilvl w:val="0"/>
          <w:numId w:val="1002"/>
        </w:numPr>
        <w:pStyle w:val="Compact"/>
      </w:pPr>
      <w:r>
        <w:rPr>
          <w:bCs/>
          <w:b/>
        </w:rPr>
        <w:t xml:space="preserve">Client Obligations:</w:t>
      </w:r>
      <w:r>
        <w:t xml:space="preserve"> </w:t>
      </w:r>
      <w:r>
        <w:t xml:space="preserve">The client agrees to provide all necessary source documents, bank statements, and supporting records to our Accountant team in a timely manner (within five business days of month-end) to ensure uninterrupted service delivery.</w:t>
      </w:r>
    </w:p>
    <w:p>
      <w:pPr>
        <w:numPr>
          <w:ilvl w:val="0"/>
          <w:numId w:val="1002"/>
        </w:numPr>
        <w:pStyle w:val="Compact"/>
      </w:pPr>
      <w:r>
        <w:rPr>
          <w:bCs/>
          <w:b/>
        </w:rPr>
        <w:t xml:space="preserve">Confidentiality:</w:t>
      </w:r>
      <w:r>
        <w:t xml:space="preserve"> </w:t>
      </w:r>
      <w:r>
        <w:t xml:space="preserve">All financial data and business information shared in connection with this Quotation Estimate and the subsequent Accountant engagement will be treated with the strictest confidentiality in accordance with German data protection law (DSGVO/GDPR).</w:t>
      </w:r>
    </w:p>
    <w:p>
      <w:pPr>
        <w:numPr>
          <w:ilvl w:val="0"/>
          <w:numId w:val="1002"/>
        </w:numPr>
        <w:pStyle w:val="Compact"/>
      </w:pPr>
      <w:r>
        <w:rPr>
          <w:bCs/>
          <w:b/>
        </w:rPr>
        <w:t xml:space="preserve">Liability:</w:t>
      </w:r>
      <w:r>
        <w:t xml:space="preserve"> </w:t>
      </w:r>
      <w:r>
        <w:t xml:space="preserve">Our liability as the Accountant provider is limited to the total value of the annual Quotation Estimate. We shall not be liable for indirect, consequential, or punitive damages arising from the performance of these services.</w:t>
      </w:r>
    </w:p>
    <w:p>
      <w:pPr>
        <w:numPr>
          <w:ilvl w:val="0"/>
          <w:numId w:val="1002"/>
        </w:numPr>
        <w:pStyle w:val="Compact"/>
      </w:pPr>
      <w:r>
        <w:rPr>
          <w:bCs/>
          <w:b/>
        </w:rPr>
        <w:t xml:space="preserve">Governing Law:</w:t>
      </w:r>
      <w:r>
        <w:t xml:space="preserve"> </w:t>
      </w:r>
      <w:r>
        <w:t xml:space="preserve">This Quotation Estimate and any resulting service agreement shall be governed by and interpreted in accordance with the laws of the Federal Republic of Germany. Any disputes shall be subject to the exclusive jurisdiction of the competent courts in Frankfurt am Main, Germany.</w:t>
      </w:r>
    </w:p>
    <w:p>
      <w:pPr>
        <w:numPr>
          <w:ilvl w:val="0"/>
          <w:numId w:val="1002"/>
        </w:numPr>
        <w:pStyle w:val="Compact"/>
      </w:pPr>
      <w:r>
        <w:rPr>
          <w:bCs/>
          <w:b/>
        </w:rPr>
        <w:t xml:space="preserve">Termination:</w:t>
      </w:r>
      <w:r>
        <w:t xml:space="preserve"> </w:t>
      </w:r>
      <w:r>
        <w:t xml:space="preserve">Either party may terminate the Accountant service agreement with a written notice of three (3) months. Fees for services rendered up to the termination date remain payable.</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for Accountant services in Germany Frankfurt and agrees to the terms, conditions, and fee schedule outlined herein. This signature does not constitute a final contract but serves as an expression of intent to proceed with the engagement. A formal service agreement will be drafted and executed within ten (10) business days of acceptance.</w:t>
      </w:r>
    </w:p>
    <w:p>
      <w:pPr>
        <w:pStyle w:val="BodyText"/>
      </w:pPr>
      <w:r>
        <w:rPr>
          <w:bCs/>
          <w:b/>
        </w:rPr>
        <w:t xml:space="preserve">For Frankfurt Financial Advisory GmbH</w:t>
      </w:r>
    </w:p>
    <w:p>
      <w:pPr>
        <w:pStyle w:val="BodyText"/>
      </w:pPr>
      <w:r>
        <w:t xml:space="preserve">Name: Dr. Markus Weber, CPA</w:t>
      </w:r>
    </w:p>
    <w:p>
      <w:pPr>
        <w:pStyle w:val="BodyText"/>
      </w:pPr>
      <w:r>
        <w:t xml:space="preserve">Title: Senior Accountant &amp; Managing Partner</w:t>
      </w:r>
    </w:p>
    <w:p>
      <w:pPr>
        <w:pStyle w:val="BodyText"/>
      </w:pPr>
      <w:r>
        <w:t xml:space="preserve">Date: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This Quotation Estimate (Ref: QTE-FRA-2025-0487) is issued by Frankfurt Financial Advisory GmbH, Neue Mainzer Straße 12, 60311 Frankfurt am Main, Germany. All Accountant services are performed in compliance with the regulations of the Wirtschaftsprüferkammer (WPK) and applicable German tax law. This document is confidential and intended solely for the named client.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Germany Frankfurt</dc:title>
  <dc:creator/>
  <dc:language>en</dc:language>
  <cp:keywords/>
  <dcterms:created xsi:type="dcterms:W3CDTF">2026-10-10T08:00:56Z</dcterms:created>
  <dcterms:modified xsi:type="dcterms:W3CDTF">2026-10-10T08:00:56Z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