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X45871f919a0e68420caddccd44dd0c66b5e270f"/>
    <w:p>
      <w:pPr>
        <w:pStyle w:val="Heading1"/>
      </w:pPr>
      <w:r>
        <w:t xml:space="preserve">Meridian Accounting &amp; Financial Solutions Pvt. Ltd.</w:t>
      </w:r>
    </w:p>
    <w:p>
      <w:pPr>
        <w:pStyle w:val="FirstParagraph"/>
      </w:pPr>
      <w:r>
        <w:t xml:space="preserve">Office No. 412, 4th Floor, Trade Centre, Nariman Point, Mumbai – 400021, Maharashtra, India</w:t>
      </w:r>
    </w:p>
    <w:p>
      <w:pPr>
        <w:pStyle w:val="BodyText"/>
      </w:pPr>
      <w:r>
        <w:t xml:space="preserve">Phone: +91-22-4055-8899 | Email: quotations@meridianafs.in | GSTIN: 27AABCM1234F1Z5</w:t>
      </w:r>
    </w:p>
    <w:p>
      <w:pPr>
        <w:pStyle w:val="BodyText"/>
      </w:pPr>
      <w:r>
        <w:t xml:space="preserve">Chartered Accountants | Registered with ICAI | CIN: U67190MH2015PTC284567</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QTE/MUM/2025/0487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the date of issue (i.e., until 14 July 2025)</w:t>
            </w:r>
          </w:p>
        </w:tc>
      </w:tr>
      <w:tr>
        <w:tc>
          <w:tcPr/>
          <w:p>
            <w:pPr>
              <w:pStyle w:val="Compact"/>
              <w:jc w:val="left"/>
            </w:pPr>
            <w:r>
              <w:t xml:space="preserve">Client / Recipient</w:t>
            </w:r>
          </w:p>
        </w:tc>
        <w:tc>
          <w:tcPr/>
          <w:p>
            <w:pPr>
              <w:pStyle w:val="Compact"/>
              <w:jc w:val="left"/>
            </w:pPr>
            <w:r>
              <w:t xml:space="preserve">Mr. Rajesh Kulkarni, Director – Kulkarni Textiles &amp; Trading LLP, 18, S.V. Road, Andheri West, Mumbai – 400053, Maharashtra, India</w:t>
            </w:r>
          </w:p>
        </w:tc>
      </w:tr>
      <w:tr>
        <w:tc>
          <w:tcPr/>
          <w:p>
            <w:pPr>
              <w:pStyle w:val="Compact"/>
              <w:jc w:val="left"/>
            </w:pPr>
            <w:r>
              <w:t xml:space="preserve">Service Location</w:t>
            </w:r>
          </w:p>
        </w:tc>
        <w:tc>
          <w:tcPr/>
          <w:p>
            <w:pPr>
              <w:pStyle w:val="Compact"/>
              <w:jc w:val="left"/>
            </w:pPr>
            <w:r>
              <w:t xml:space="preserve">India Mumbai – All operations and on-site visits shall be conducted within the Mumbai Metropolitan Region, Maharashtra, India</w:t>
            </w:r>
          </w:p>
        </w:tc>
      </w:tr>
      <w:tr>
        <w:tc>
          <w:tcPr/>
          <w:p>
            <w:pPr>
              <w:pStyle w:val="Compact"/>
              <w:jc w:val="left"/>
            </w:pPr>
            <w:r>
              <w:t xml:space="preserve">Prepared By</w:t>
            </w:r>
          </w:p>
        </w:tc>
        <w:tc>
          <w:tcPr/>
          <w:p>
            <w:pPr>
              <w:pStyle w:val="Compact"/>
              <w:jc w:val="left"/>
            </w:pPr>
            <w:r>
              <w:t xml:space="preserve">Ms. Anjali Deshmukh, Senior Partner &amp; Lead Accountant, Meridian Accounting &amp; Financial Solutions Pvt. Ltd.</w:t>
            </w:r>
          </w:p>
        </w:tc>
      </w:tr>
    </w:tbl>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issued by Meridian Accounting &amp; Financial Solutions Pvt. Ltd. to provide a comprehensive, itemized breakdown of professional fees for the engagement of a dedicated</w:t>
      </w:r>
      <w:r>
        <w:t xml:space="preserve"> </w:t>
      </w:r>
      <w:r>
        <w:t xml:space="preserve">Accountant</w:t>
      </w:r>
      <w:r>
        <w:t xml:space="preserve"> </w:t>
      </w:r>
      <w:r>
        <w:t xml:space="preserve">to serve the financial, compliance, and reporting needs of Kulkarni Textiles &amp; Trading LLP. All services described herein shall be delivered in</w:t>
      </w:r>
      <w:r>
        <w:t xml:space="preserve"> </w:t>
      </w:r>
      <w:r>
        <w:t xml:space="preserve">India Mumbai</w:t>
      </w:r>
      <w:r>
        <w:t xml:space="preserve">, with the primary office location at Nariman Point and on-site visits to the client's premises in Andheri West, Mumbai. This</w:t>
      </w:r>
      <w:r>
        <w:t xml:space="preserve"> </w:t>
      </w:r>
      <w:r>
        <w:t xml:space="preserve">Quotation Estimate</w:t>
      </w:r>
      <w:r>
        <w:t xml:space="preserve"> </w:t>
      </w:r>
      <w:r>
        <w:t xml:space="preserve">is prepared in accordance with the professional standards set by the Institute of Chartered Accountants of India (ICAI) and complies with all applicable provisions of the Companies Act, 2013, the Income Tax Act, 1961, the Goods and Services Tax (GST) Act, 2017, and the Maharashtra State-specific regulatory requirements governing accounting and financial reporting in</w:t>
      </w:r>
      <w:r>
        <w:t xml:space="preserve"> </w:t>
      </w:r>
      <w:r>
        <w:t xml:space="preserve">India Mumbai</w:t>
      </w:r>
      <w:r>
        <w:t xml:space="preserve">.</w:t>
      </w:r>
    </w:p>
    <w:p>
      <w:pPr>
        <w:pStyle w:val="BodyText"/>
      </w:pPr>
      <w:r>
        <w:t xml:space="preserve">2. Detailed Scope of Accountant Services</w:t>
      </w:r>
    </w:p>
    <w:p>
      <w:pPr>
        <w:pStyle w:val="BodyText"/>
      </w:pPr>
      <w:r>
        <w:t xml:space="preserve">The</w:t>
      </w:r>
      <w:r>
        <w:t xml:space="preserve"> </w:t>
      </w:r>
      <w:r>
        <w:t xml:space="preserve">Accountant</w:t>
      </w:r>
      <w:r>
        <w:t xml:space="preserve"> </w:t>
      </w:r>
      <w:r>
        <w:t xml:space="preserve">engaged under this</w:t>
      </w:r>
      <w:r>
        <w:t xml:space="preserve"> </w:t>
      </w:r>
      <w:r>
        <w:t xml:space="preserve">Quotation Estimate</w:t>
      </w:r>
      <w:r>
        <w:t xml:space="preserve"> </w:t>
      </w:r>
      <w:r>
        <w:t xml:space="preserve">shall perform the following duties and responsibilities on a full-time, on-site basis at the client's office in</w:t>
      </w:r>
      <w:r>
        <w:t xml:space="preserve"> </w:t>
      </w:r>
      <w:r>
        <w:t xml:space="preserve">India Mumbai</w:t>
      </w:r>
      <w:r>
        <w:t xml:space="preserve">:</w:t>
      </w:r>
    </w:p>
    <w:p>
      <w:pPr>
        <w:numPr>
          <w:ilvl w:val="0"/>
          <w:numId w:val="1001"/>
        </w:numPr>
        <w:pStyle w:val="Compact"/>
      </w:pPr>
      <w:r>
        <w:rPr>
          <w:bCs/>
          <w:b/>
        </w:rPr>
        <w:t xml:space="preserve">Day-to-Day Bookkeeping:</w:t>
      </w:r>
      <w:r>
        <w:t xml:space="preserve"> </w:t>
      </w:r>
      <w:r>
        <w:t xml:space="preserve">Maintenance of complete double-entry books of accounts, including journal entries, ledger postings, and reconciliation of all bank accounts, cash books, and petty cash records for the entity operating in</w:t>
      </w:r>
      <w:r>
        <w:t xml:space="preserve"> </w:t>
      </w:r>
      <w:r>
        <w:t xml:space="preserve">India Mumbai</w:t>
      </w:r>
      <w:r>
        <w:t xml:space="preserve">.</w:t>
      </w:r>
    </w:p>
    <w:p>
      <w:pPr>
        <w:numPr>
          <w:ilvl w:val="0"/>
          <w:numId w:val="1001"/>
        </w:numPr>
        <w:pStyle w:val="Compact"/>
      </w:pPr>
      <w:r>
        <w:rPr>
          <w:bCs/>
          <w:b/>
        </w:rPr>
        <w:t xml:space="preserve">Monthly Financial Reporting:</w:t>
      </w:r>
      <w:r>
        <w:t xml:space="preserve"> </w:t>
      </w:r>
      <w:r>
        <w:t xml:space="preserve">Preparation and submission of monthly profit and loss statements, balance sheets, cash flow statements, and management reports to the Directors of Kulkarni Textiles &amp; Trading LLP by the 10th of each subsequent month.</w:t>
      </w:r>
    </w:p>
    <w:p>
      <w:pPr>
        <w:numPr>
          <w:ilvl w:val="0"/>
          <w:numId w:val="1001"/>
        </w:numPr>
        <w:pStyle w:val="Compact"/>
      </w:pPr>
      <w:r>
        <w:rPr>
          <w:bCs/>
          <w:b/>
        </w:rPr>
        <w:t xml:space="preserve">GST Compliance and Filing:</w:t>
      </w:r>
      <w:r>
        <w:t xml:space="preserve"> </w:t>
      </w:r>
      <w:r>
        <w:t xml:space="preserve">Preparation and timely filing of GSTR-1, GSTR-3B, and annual GSTR-9 returns as mandated under the GST regime applicable in</w:t>
      </w:r>
      <w:r>
        <w:t xml:space="preserve"> </w:t>
      </w:r>
      <w:r>
        <w:t xml:space="preserve">India Mumbai</w:t>
      </w:r>
      <w:r>
        <w:t xml:space="preserve">. This includes input tax credit reconciliation, e-way bill management, and response to GST notices from the Mumbai Regional Tax Office.</w:t>
      </w:r>
    </w:p>
    <w:p>
      <w:pPr>
        <w:numPr>
          <w:ilvl w:val="0"/>
          <w:numId w:val="1001"/>
        </w:numPr>
        <w:pStyle w:val="Compact"/>
      </w:pPr>
      <w:r>
        <w:rPr>
          <w:bCs/>
          <w:b/>
        </w:rPr>
        <w:t xml:space="preserve">TDS and TCS Compliance:</w:t>
      </w:r>
      <w:r>
        <w:t xml:space="preserve"> </w:t>
      </w:r>
      <w:r>
        <w:t xml:space="preserve">Calculation, deduction, deposit, and quarterly filing of TDS (Form 24Q, 26Q) and TCS returns in compliance with the Income Tax Act, 1961, as administered by the Income Tax Department, Mumbai Circle.</w:t>
      </w:r>
    </w:p>
    <w:p>
      <w:pPr>
        <w:numPr>
          <w:ilvl w:val="0"/>
          <w:numId w:val="1001"/>
        </w:numPr>
        <w:pStyle w:val="Compact"/>
      </w:pPr>
      <w:r>
        <w:rPr>
          <w:bCs/>
          <w:b/>
        </w:rPr>
        <w:t xml:space="preserve">Payroll and Statutory Compliance:</w:t>
      </w:r>
      <w:r>
        <w:t xml:space="preserve"> </w:t>
      </w:r>
      <w:r>
        <w:t xml:space="preserve">Monthly payroll processing for up to 45 employees, including PF (EPF), ESI, Professional Tax (Maharashtra), and Labour Welfare Fund (LWF) deductions and deposits as applicable in</w:t>
      </w:r>
      <w:r>
        <w:t xml:space="preserve"> </w:t>
      </w:r>
      <w:r>
        <w:t xml:space="preserve">India Mumbai</w:t>
      </w:r>
      <w:r>
        <w:t xml:space="preserve">.</w:t>
      </w:r>
    </w:p>
    <w:p>
      <w:pPr>
        <w:numPr>
          <w:ilvl w:val="0"/>
          <w:numId w:val="1001"/>
        </w:numPr>
        <w:pStyle w:val="Compact"/>
      </w:pPr>
      <w:r>
        <w:rPr>
          <w:bCs/>
          <w:b/>
        </w:rPr>
        <w:t xml:space="preserve">Annual Statutory Audit Support:</w:t>
      </w:r>
      <w:r>
        <w:t xml:space="preserve"> </w:t>
      </w:r>
      <w:r>
        <w:t xml:space="preserve">Coordination with the external statutory auditor, preparation of trial balances, schedules, and supporting documentation for the annual audit of the LLP registered in</w:t>
      </w:r>
      <w:r>
        <w:t xml:space="preserve"> </w:t>
      </w:r>
      <w:r>
        <w:t xml:space="preserve">India Mumbai</w:t>
      </w:r>
      <w:r>
        <w:t xml:space="preserve">.</w:t>
      </w:r>
    </w:p>
    <w:p>
      <w:pPr>
        <w:numPr>
          <w:ilvl w:val="0"/>
          <w:numId w:val="1001"/>
        </w:numPr>
        <w:pStyle w:val="Compact"/>
      </w:pPr>
      <w:r>
        <w:rPr>
          <w:bCs/>
          <w:b/>
        </w:rPr>
        <w:t xml:space="preserve">Bank Reconciliation and Cash Management:</w:t>
      </w:r>
      <w:r>
        <w:t xml:space="preserve"> </w:t>
      </w:r>
      <w:r>
        <w:t xml:space="preserve">Weekly bank reconciliation statements for all accounts held with banks operating in</w:t>
      </w:r>
      <w:r>
        <w:t xml:space="preserve"> </w:t>
      </w:r>
      <w:r>
        <w:t xml:space="preserve">India Mumbai</w:t>
      </w:r>
      <w:r>
        <w:t xml:space="preserve">, and monthly cash flow forecasting.</w:t>
      </w:r>
    </w:p>
    <w:p>
      <w:pPr>
        <w:numPr>
          <w:ilvl w:val="0"/>
          <w:numId w:val="1001"/>
        </w:numPr>
        <w:pStyle w:val="Compact"/>
      </w:pPr>
      <w:r>
        <w:rPr>
          <w:bCs/>
          <w:b/>
        </w:rPr>
        <w:t xml:space="preserve">Vendor and Customer Account Management:</w:t>
      </w:r>
      <w:r>
        <w:t xml:space="preserve"> </w:t>
      </w:r>
      <w:r>
        <w:t xml:space="preserve">Aging analysis, follow-up on receivables and payables, and preparation of vendor statements on a monthly basis.</w:t>
      </w:r>
    </w:p>
    <w:p>
      <w:pPr>
        <w:numPr>
          <w:ilvl w:val="0"/>
          <w:numId w:val="1001"/>
        </w:numPr>
        <w:pStyle w:val="Compact"/>
      </w:pPr>
      <w:r>
        <w:rPr>
          <w:bCs/>
          <w:b/>
        </w:rPr>
        <w:t xml:space="preserve">Regulatory Filings with MCA:</w:t>
      </w:r>
      <w:r>
        <w:t xml:space="preserve"> </w:t>
      </w:r>
      <w:r>
        <w:t xml:space="preserve">Assistance in preparing and filing annual returns (Form 8), financial statements (Form 24A), and other statutory documents with the Ministry of Corporate Affairs for the LLP registered in</w:t>
      </w:r>
      <w:r>
        <w:t xml:space="preserve"> </w:t>
      </w:r>
      <w:r>
        <w:t xml:space="preserve">India Mumbai</w:t>
      </w:r>
      <w:r>
        <w:t xml:space="preserve">.</w:t>
      </w:r>
    </w:p>
    <w:p>
      <w:pPr>
        <w:numPr>
          <w:ilvl w:val="0"/>
          <w:numId w:val="1001"/>
        </w:numPr>
        <w:pStyle w:val="Compact"/>
      </w:pPr>
      <w:r>
        <w:rPr>
          <w:bCs/>
          <w:b/>
        </w:rPr>
        <w:t xml:space="preserve">Ad-hoc Advisory:</w:t>
      </w:r>
      <w:r>
        <w:t xml:space="preserve"> </w:t>
      </w:r>
      <w:r>
        <w:t xml:space="preserve">Provision of general accounting and financial advisory to the management of the client firm as and when required, limited to 10 hours per month.</w:t>
      </w:r>
    </w:p>
    <w:p>
      <w:pPr>
        <w:pStyle w:val="FirstParagraph"/>
      </w:pPr>
      <w:r>
        <w:t xml:space="preserve">3. Itemized Fee Structure – Quotation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Monthly Fee (INR)</w:t>
            </w:r>
          </w:p>
        </w:tc>
        <w:tc>
          <w:tcPr/>
          <w:p>
            <w:pPr>
              <w:pStyle w:val="Compact"/>
              <w:jc w:val="left"/>
            </w:pPr>
            <w:r>
              <w:t xml:space="preserve">Annual Fee (INR)</w:t>
            </w:r>
          </w:p>
        </w:tc>
      </w:tr>
      <w:tr>
        <w:tc>
          <w:tcPr/>
          <w:p>
            <w:pPr>
              <w:pStyle w:val="Compact"/>
              <w:jc w:val="left"/>
            </w:pPr>
            <w:r>
              <w:t xml:space="preserve">1</w:t>
            </w:r>
          </w:p>
        </w:tc>
        <w:tc>
          <w:tcPr/>
          <w:p>
            <w:pPr>
              <w:pStyle w:val="Compact"/>
              <w:jc w:val="left"/>
            </w:pPr>
            <w:r>
              <w:t xml:space="preserve">Full-time dedicated Accountant – Day-to-day bookkeeping, ledger maintenance, and journal entries</w:t>
            </w:r>
          </w:p>
        </w:tc>
        <w:tc>
          <w:tcPr/>
          <w:p>
            <w:pPr>
              <w:pStyle w:val="Compact"/>
              <w:jc w:val="left"/>
            </w:pPr>
            <w:r>
              <w:t xml:space="preserve">Monthly</w:t>
            </w:r>
          </w:p>
        </w:tc>
        <w:tc>
          <w:tcPr/>
          <w:p>
            <w:pPr>
              <w:pStyle w:val="Compact"/>
              <w:jc w:val="left"/>
            </w:pPr>
            <w:r>
              <w:t xml:space="preserve">₹ 55,000</w:t>
            </w:r>
          </w:p>
        </w:tc>
        <w:tc>
          <w:tcPr/>
          <w:p>
            <w:pPr>
              <w:pStyle w:val="Compact"/>
              <w:jc w:val="left"/>
            </w:pPr>
            <w:r>
              <w:t xml:space="preserve">₹ 6,60,000</w:t>
            </w:r>
          </w:p>
        </w:tc>
      </w:tr>
      <w:tr>
        <w:tc>
          <w:tcPr/>
          <w:p>
            <w:pPr>
              <w:pStyle w:val="Compact"/>
              <w:jc w:val="left"/>
            </w:pPr>
            <w:r>
              <w:t xml:space="preserve">2</w:t>
            </w:r>
          </w:p>
        </w:tc>
        <w:tc>
          <w:tcPr/>
          <w:p>
            <w:pPr>
              <w:pStyle w:val="Compact"/>
              <w:jc w:val="left"/>
            </w:pPr>
            <w:r>
              <w:t xml:space="preserve">Monthly financial statement preparation and management reporting</w:t>
            </w:r>
          </w:p>
        </w:tc>
        <w:tc>
          <w:tcPr/>
          <w:p>
            <w:pPr>
              <w:pStyle w:val="Compact"/>
              <w:jc w:val="left"/>
            </w:pPr>
            <w:r>
              <w:t xml:space="preserve">Monthly</w:t>
            </w:r>
          </w:p>
        </w:tc>
        <w:tc>
          <w:tcPr/>
          <w:p>
            <w:pPr>
              <w:pStyle w:val="Compact"/>
              <w:jc w:val="left"/>
            </w:pPr>
            <w:r>
              <w:t xml:space="preserve">₹ 12,000</w:t>
            </w:r>
          </w:p>
        </w:tc>
        <w:tc>
          <w:tcPr/>
          <w:p>
            <w:pPr>
              <w:pStyle w:val="Compact"/>
              <w:jc w:val="left"/>
            </w:pPr>
            <w:r>
              <w:t xml:space="preserve">₹ 1,44,000</w:t>
            </w:r>
          </w:p>
        </w:tc>
      </w:tr>
      <w:tr>
        <w:tc>
          <w:tcPr/>
          <w:p>
            <w:pPr>
              <w:pStyle w:val="Compact"/>
              <w:jc w:val="left"/>
            </w:pPr>
            <w:r>
              <w:t xml:space="preserve">3</w:t>
            </w:r>
          </w:p>
        </w:tc>
        <w:tc>
          <w:tcPr/>
          <w:p>
            <w:pPr>
              <w:pStyle w:val="Compact"/>
              <w:jc w:val="left"/>
            </w:pPr>
            <w:r>
              <w:t xml:space="preserve">GST return filing (GSTR-1, GSTR-3B, GSTR-9) and compliance management</w:t>
            </w:r>
          </w:p>
        </w:tc>
        <w:tc>
          <w:tcPr/>
          <w:p>
            <w:pPr>
              <w:pStyle w:val="Compact"/>
              <w:jc w:val="left"/>
            </w:pPr>
            <w:r>
              <w:t xml:space="preserve">Monthly / Annual</w:t>
            </w:r>
          </w:p>
        </w:tc>
        <w:tc>
          <w:tcPr/>
          <w:p>
            <w:pPr>
              <w:pStyle w:val="Compact"/>
              <w:jc w:val="left"/>
            </w:pPr>
            <w:r>
              <w:t xml:space="preserve">₹ 8,000</w:t>
            </w:r>
          </w:p>
        </w:tc>
        <w:tc>
          <w:tcPr/>
          <w:p>
            <w:pPr>
              <w:pStyle w:val="Compact"/>
              <w:jc w:val="left"/>
            </w:pPr>
            <w:r>
              <w:t xml:space="preserve">₹ 96,000</w:t>
            </w:r>
          </w:p>
        </w:tc>
      </w:tr>
      <w:tr>
        <w:tc>
          <w:tcPr/>
          <w:p>
            <w:pPr>
              <w:pStyle w:val="Compact"/>
              <w:jc w:val="left"/>
            </w:pPr>
            <w:r>
              <w:t xml:space="preserve">4</w:t>
            </w:r>
          </w:p>
        </w:tc>
        <w:tc>
          <w:tcPr/>
          <w:p>
            <w:pPr>
              <w:pStyle w:val="Compact"/>
              <w:jc w:val="left"/>
            </w:pPr>
            <w:r>
              <w:t xml:space="preserve">TDS / TCS computation, deposit, and quarterly return filing</w:t>
            </w:r>
          </w:p>
        </w:tc>
        <w:tc>
          <w:tcPr/>
          <w:p>
            <w:pPr>
              <w:pStyle w:val="Compact"/>
              <w:jc w:val="left"/>
            </w:pPr>
            <w:r>
              <w:t xml:space="preserve">Quarterly</w:t>
            </w:r>
          </w:p>
        </w:tc>
        <w:tc>
          <w:tcPr/>
          <w:p>
            <w:pPr>
              <w:pStyle w:val="Compact"/>
              <w:jc w:val="left"/>
            </w:pPr>
            <w:r>
              <w:t xml:space="preserve">₹ 5,000</w:t>
            </w:r>
          </w:p>
        </w:tc>
        <w:tc>
          <w:tcPr/>
          <w:p>
            <w:pPr>
              <w:pStyle w:val="Compact"/>
              <w:jc w:val="left"/>
            </w:pPr>
            <w:r>
              <w:t xml:space="preserve">₹ 60,000</w:t>
            </w:r>
          </w:p>
        </w:tc>
      </w:tr>
      <w:tr>
        <w:tc>
          <w:tcPr/>
          <w:p>
            <w:pPr>
              <w:pStyle w:val="Compact"/>
              <w:jc w:val="left"/>
            </w:pPr>
            <w:r>
              <w:t xml:space="preserve">5</w:t>
            </w:r>
          </w:p>
        </w:tc>
        <w:tc>
          <w:tcPr/>
          <w:p>
            <w:pPr>
              <w:pStyle w:val="Compact"/>
              <w:jc w:val="left"/>
            </w:pPr>
            <w:r>
              <w:t xml:space="preserve">Payroll processing, PF, ESI, PT, and LWF compliance (up to 45 employees)</w:t>
            </w:r>
          </w:p>
        </w:tc>
        <w:tc>
          <w:tcPr/>
          <w:p>
            <w:pPr>
              <w:pStyle w:val="Compact"/>
              <w:jc w:val="left"/>
            </w:pPr>
            <w:r>
              <w:t xml:space="preserve">Monthly</w:t>
            </w:r>
          </w:p>
        </w:tc>
        <w:tc>
          <w:tcPr/>
          <w:p>
            <w:pPr>
              <w:pStyle w:val="Compact"/>
              <w:jc w:val="left"/>
            </w:pPr>
            <w:r>
              <w:t xml:space="preserve">₹ 15,000</w:t>
            </w:r>
          </w:p>
        </w:tc>
        <w:tc>
          <w:tcPr/>
          <w:p>
            <w:pPr>
              <w:pStyle w:val="Compact"/>
              <w:jc w:val="left"/>
            </w:pPr>
            <w:r>
              <w:t xml:space="preserve">₹ 1,80,000</w:t>
            </w:r>
          </w:p>
        </w:tc>
      </w:tr>
      <w:tr>
        <w:tc>
          <w:tcPr/>
          <w:p>
            <w:pPr>
              <w:pStyle w:val="Compact"/>
              <w:jc w:val="left"/>
            </w:pPr>
            <w:r>
              <w:t xml:space="preserve">6</w:t>
            </w:r>
          </w:p>
        </w:tc>
        <w:tc>
          <w:tcPr/>
          <w:p>
            <w:pPr>
              <w:pStyle w:val="Compact"/>
              <w:jc w:val="left"/>
            </w:pPr>
            <w:r>
              <w:t xml:space="preserve">Annual statutory audit support and MCA filing assistance</w:t>
            </w:r>
          </w:p>
        </w:tc>
        <w:tc>
          <w:tcPr/>
          <w:p>
            <w:pPr>
              <w:pStyle w:val="Compact"/>
              <w:jc w:val="left"/>
            </w:pPr>
            <w:r>
              <w:t xml:space="preserve">Annual</w:t>
            </w:r>
          </w:p>
        </w:tc>
        <w:tc>
          <w:tcPr/>
          <w:p>
            <w:pPr>
              <w:pStyle w:val="Compact"/>
              <w:jc w:val="left"/>
            </w:pPr>
            <w:r>
              <w:t xml:space="preserve">₹ 10,000</w:t>
            </w:r>
          </w:p>
        </w:tc>
        <w:tc>
          <w:tcPr/>
          <w:p>
            <w:pPr>
              <w:pStyle w:val="Compact"/>
              <w:jc w:val="left"/>
            </w:pPr>
            <w:r>
              <w:t xml:space="preserve">₹ 1,20,000</w:t>
            </w:r>
          </w:p>
        </w:tc>
      </w:tr>
      <w:tr>
        <w:tc>
          <w:tcPr/>
          <w:p>
            <w:pPr>
              <w:pStyle w:val="Compact"/>
              <w:jc w:val="left"/>
            </w:pPr>
            <w:r>
              <w:t xml:space="preserve">7</w:t>
            </w:r>
          </w:p>
        </w:tc>
        <w:tc>
          <w:tcPr/>
          <w:p>
            <w:pPr>
              <w:pStyle w:val="Compact"/>
              <w:jc w:val="left"/>
            </w:pPr>
            <w:r>
              <w:t xml:space="preserve">Bank reconciliation, cash flow forecasting, and vendor/customer account management</w:t>
            </w:r>
          </w:p>
        </w:tc>
        <w:tc>
          <w:tcPr/>
          <w:p>
            <w:pPr>
              <w:pStyle w:val="Compact"/>
              <w:jc w:val="left"/>
            </w:pPr>
            <w:r>
              <w:t xml:space="preserve">Monthly</w:t>
            </w:r>
          </w:p>
        </w:tc>
        <w:tc>
          <w:tcPr/>
          <w:p>
            <w:pPr>
              <w:pStyle w:val="Compact"/>
              <w:jc w:val="left"/>
            </w:pPr>
            <w:r>
              <w:t xml:space="preserve">₹ 7,000</w:t>
            </w:r>
          </w:p>
        </w:tc>
        <w:tc>
          <w:tcPr/>
          <w:p>
            <w:pPr>
              <w:pStyle w:val="Compact"/>
              <w:jc w:val="left"/>
            </w:pPr>
            <w:r>
              <w:t xml:space="preserve">₹ 84,000</w:t>
            </w:r>
          </w:p>
        </w:tc>
      </w:tr>
      <w:tr>
        <w:tc>
          <w:tcPr/>
          <w:p>
            <w:pPr>
              <w:pStyle w:val="Compact"/>
              <w:jc w:val="left"/>
            </w:pPr>
            <w:r>
              <w:t xml:space="preserve">8</w:t>
            </w:r>
          </w:p>
        </w:tc>
        <w:tc>
          <w:tcPr/>
          <w:p>
            <w:pPr>
              <w:pStyle w:val="Compact"/>
              <w:jc w:val="left"/>
            </w:pPr>
            <w:r>
              <w:t xml:space="preserve">Ad-hoc accounting and financial advisory (up to 10 hours/month)</w:t>
            </w:r>
          </w:p>
        </w:tc>
        <w:tc>
          <w:tcPr/>
          <w:p>
            <w:pPr>
              <w:pStyle w:val="Compact"/>
              <w:jc w:val="left"/>
            </w:pPr>
            <w:r>
              <w:t xml:space="preserve">Monthly</w:t>
            </w:r>
          </w:p>
        </w:tc>
        <w:tc>
          <w:tcPr/>
          <w:p>
            <w:pPr>
              <w:pStyle w:val="Compact"/>
              <w:jc w:val="left"/>
            </w:pPr>
            <w:r>
              <w:t xml:space="preserve">₹ 6,000</w:t>
            </w:r>
          </w:p>
        </w:tc>
        <w:tc>
          <w:tcPr/>
          <w:p>
            <w:pPr>
              <w:pStyle w:val="Compact"/>
              <w:jc w:val="left"/>
            </w:pPr>
            <w:r>
              <w:t xml:space="preserve">₹ 72,000</w:t>
            </w:r>
          </w:p>
        </w:tc>
      </w:tr>
      <w:tr>
        <w:tc>
          <w:tcPr>
            <w:gridSpan w:val="3"/>
          </w:tcPr>
          <w:p>
            <w:pPr>
              <w:pStyle w:val="Compact"/>
              <w:jc w:val="left"/>
            </w:pPr>
            <w:r>
              <w:t xml:space="preserve">Sub-Total (Annual)</w:t>
            </w:r>
          </w:p>
        </w:tc>
        <w:tc>
          <w:tcPr/>
          <w:p>
            <w:pPr>
              <w:pStyle w:val="Compact"/>
              <w:jc w:val="left"/>
            </w:pPr>
            <w:r>
              <w:t xml:space="preserve">₹ 1,18,000</w:t>
            </w:r>
          </w:p>
        </w:tc>
        <w:tc>
          <w:tcPr/>
          <w:p>
            <w:pPr>
              <w:pStyle w:val="Compact"/>
              <w:jc w:val="left"/>
            </w:pPr>
            <w:r>
              <w:t xml:space="preserve">₹ 14,16,000</w:t>
            </w:r>
          </w:p>
        </w:tc>
      </w:tr>
      <w:tr>
        <w:tc>
          <w:tcPr>
            <w:gridSpan w:val="3"/>
          </w:tcPr>
          <w:p>
            <w:pPr>
              <w:pStyle w:val="Compact"/>
              <w:jc w:val="left"/>
            </w:pPr>
            <w:r>
              <w:t xml:space="preserve">GST @ 18% (as applicable in India Mumbai, Maharashtra)</w:t>
            </w:r>
          </w:p>
        </w:tc>
        <w:tc>
          <w:tcPr/>
          <w:p>
            <w:pPr>
              <w:pStyle w:val="Compact"/>
              <w:jc w:val="left"/>
            </w:pPr>
            <w:r>
              <w:t xml:space="preserve">₹ 21,240</w:t>
            </w:r>
          </w:p>
        </w:tc>
        <w:tc>
          <w:tcPr/>
          <w:p>
            <w:pPr>
              <w:pStyle w:val="Compact"/>
              <w:jc w:val="left"/>
            </w:pPr>
            <w:r>
              <w:t xml:space="preserve">₹ 2,54,880</w:t>
            </w:r>
          </w:p>
        </w:tc>
      </w:tr>
      <w:tr>
        <w:tc>
          <w:tcPr>
            <w:gridSpan w:val="3"/>
          </w:tcPr>
          <w:p>
            <w:pPr>
              <w:pStyle w:val="Compact"/>
              <w:jc w:val="left"/>
            </w:pPr>
            <w:r>
              <w:rPr>
                <w:bCs/>
                <w:b/>
              </w:rPr>
              <w:t xml:space="preserve">Grand Total (Annual) – This Quotation Estimate</w:t>
            </w:r>
          </w:p>
        </w:tc>
        <w:tc>
          <w:tcPr/>
          <w:p>
            <w:pPr>
              <w:pStyle w:val="Compact"/>
              <w:jc w:val="left"/>
            </w:pPr>
            <w:r>
              <w:rPr>
                <w:bCs/>
                <w:b/>
              </w:rPr>
              <w:t xml:space="preserve">₹ 1,39,240</w:t>
            </w:r>
          </w:p>
        </w:tc>
        <w:tc>
          <w:tcPr/>
          <w:p>
            <w:pPr>
              <w:pStyle w:val="Compact"/>
              <w:jc w:val="left"/>
            </w:pPr>
            <w:r>
              <w:rPr>
                <w:bCs/>
                <w:b/>
              </w:rPr>
              <w:t xml:space="preserve">₹ 16,70,880</w:t>
            </w:r>
          </w:p>
        </w:tc>
      </w:tr>
    </w:tbl>
    <w:p>
      <w:pPr>
        <w:pStyle w:val="BodyText"/>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the fees quoted may be revised to reflect changes in market rates, regulatory updates, or operational costs in</w:t>
      </w:r>
      <w:r>
        <w:t xml:space="preserve"> </w:t>
      </w:r>
      <w:r>
        <w:t xml:space="preserve">India Mumbai</w:t>
      </w:r>
      <w:r>
        <w:t xml:space="preserve">.</w:t>
      </w:r>
    </w:p>
    <w:p>
      <w:pPr>
        <w:numPr>
          <w:ilvl w:val="0"/>
          <w:numId w:val="1002"/>
        </w:numPr>
        <w:pStyle w:val="Compact"/>
      </w:pPr>
      <w:r>
        <w:t xml:space="preserve">The</w:t>
      </w:r>
      <w:r>
        <w:t xml:space="preserve"> </w:t>
      </w:r>
      <w:r>
        <w:t xml:space="preserve">Accountant</w:t>
      </w:r>
      <w:r>
        <w:t xml:space="preserve"> </w:t>
      </w:r>
      <w:r>
        <w:t xml:space="preserve">shall be a qualified Chartered Accountant (CA) or a certified accounting professional with a minimum of five (5) years of experience in handling accounts for trading and manufacturing entities registered in</w:t>
      </w:r>
      <w:r>
        <w:t xml:space="preserve"> </w:t>
      </w:r>
      <w:r>
        <w:t xml:space="preserve">India Mumbai</w:t>
      </w:r>
      <w:r>
        <w:t xml:space="preserve">.</w:t>
      </w:r>
    </w:p>
    <w:p>
      <w:pPr>
        <w:numPr>
          <w:ilvl w:val="0"/>
          <w:numId w:val="1002"/>
        </w:numPr>
        <w:pStyle w:val="Compact"/>
      </w:pPr>
      <w:r>
        <w:t xml:space="preserve">The engagement period under this</w:t>
      </w:r>
      <w:r>
        <w:t xml:space="preserve"> </w:t>
      </w:r>
      <w:r>
        <w:t xml:space="preserve">Quotation Estimate</w:t>
      </w:r>
      <w:r>
        <w:t xml:space="preserve"> </w:t>
      </w:r>
      <w:r>
        <w:t xml:space="preserve">shall be for a term of twelve (12) months, commencing from the date of mutual agreement and signing of the Service Agreement. Renewal shall be subject to mutual written consent at least thirty (30) days prior to the expiry of the current term.</w:t>
      </w:r>
    </w:p>
    <w:p>
      <w:pPr>
        <w:numPr>
          <w:ilvl w:val="0"/>
          <w:numId w:val="1002"/>
        </w:numPr>
        <w:pStyle w:val="Compact"/>
      </w:pPr>
      <w:r>
        <w:t xml:space="preserve">Payment terms: The client shall pay the monthly fee by the 5th of each subsequent month via NEFT/RTGS to the bank account of Meridian Accounting &amp; Financial Solutions Pvt. Ltd., Mumbai. A 1.5% monthly interest shall be charged on any overdue amounts.</w:t>
      </w:r>
    </w:p>
    <w:p>
      <w:pPr>
        <w:numPr>
          <w:ilvl w:val="0"/>
          <w:numId w:val="1002"/>
        </w:numPr>
        <w:pStyle w:val="Compact"/>
      </w:pPr>
      <w:r>
        <w:t xml:space="preserve">All on-site visits by the</w:t>
      </w:r>
      <w:r>
        <w:t xml:space="preserve"> </w:t>
      </w:r>
      <w:r>
        <w:t xml:space="preserve">Accountant</w:t>
      </w:r>
      <w:r>
        <w:t xml:space="preserve"> </w:t>
      </w:r>
      <w:r>
        <w:t xml:space="preserve">to the client's premises in Andheri West,</w:t>
      </w:r>
      <w:r>
        <w:t xml:space="preserve"> </w:t>
      </w:r>
      <w:r>
        <w:t xml:space="preserve">India Mumbai</w:t>
      </w:r>
      <w:r>
        <w:t xml:space="preserve">, are included in the quoted fees. Any travel to locations outside the Mumbai Metropolitan Region (MMR) shall be billed separately at actual cost plus 15% handling charge.</w:t>
      </w:r>
    </w:p>
    <w:p>
      <w:pPr>
        <w:numPr>
          <w:ilvl w:val="0"/>
          <w:numId w:val="1002"/>
        </w:numPr>
        <w:pStyle w:val="Compact"/>
      </w:pPr>
      <w:r>
        <w:t xml:space="preserve">The</w:t>
      </w:r>
      <w:r>
        <w:t xml:space="preserve"> </w:t>
      </w:r>
      <w:r>
        <w:t xml:space="preserve">Accountant</w:t>
      </w:r>
      <w:r>
        <w:t xml:space="preserve"> </w:t>
      </w:r>
      <w:r>
        <w:t xml:space="preserve">shall maintain strict confidentiality of all financial data, trade secrets, and business information of Kulkarni Textiles &amp; Trading LLP, in compliance with the ICAI Code of Ethics and the Information Technology Act, 2000.</w:t>
      </w:r>
    </w:p>
    <w:p>
      <w:pPr>
        <w:numPr>
          <w:ilvl w:val="0"/>
          <w:numId w:val="1002"/>
        </w:numPr>
        <w:pStyle w:val="Compact"/>
      </w:pPr>
      <w:r>
        <w:t xml:space="preserve">This</w:t>
      </w:r>
      <w:r>
        <w:t xml:space="preserve"> </w:t>
      </w:r>
      <w:r>
        <w:t xml:space="preserve">Quotation Estimate</w:t>
      </w:r>
      <w:r>
        <w:t xml:space="preserve"> </w:t>
      </w:r>
      <w:r>
        <w:t xml:space="preserve">does not include the cost of statutory audit fees payable to the external auditor, government filing fees, stamp duty, or any third-party software subscription costs. These shall be borne directly by the client.</w:t>
      </w:r>
    </w:p>
    <w:p>
      <w:pPr>
        <w:numPr>
          <w:ilvl w:val="0"/>
          <w:numId w:val="1002"/>
        </w:numPr>
        <w:pStyle w:val="Compact"/>
      </w:pPr>
      <w:r>
        <w:t xml:space="preserve">Either party may terminate the engagement with a written notice of sixty (60) days. In the event of early termination, the</w:t>
      </w:r>
      <w:r>
        <w:t xml:space="preserve"> </w:t>
      </w:r>
      <w:r>
        <w:t xml:space="preserve">Accountant</w:t>
      </w:r>
      <w:r>
        <w:t xml:space="preserve"> </w:t>
      </w:r>
      <w:r>
        <w:t xml:space="preserve">shall be entitled to fees for the notice period.</w:t>
      </w:r>
    </w:p>
    <w:p>
      <w:pPr>
        <w:numPr>
          <w:ilvl w:val="0"/>
          <w:numId w:val="1002"/>
        </w:numPr>
        <w:pStyle w:val="Compact"/>
      </w:pPr>
      <w:r>
        <w:t xml:space="preserve">All disputes arising out of or in connection with this</w:t>
      </w:r>
      <w:r>
        <w:t xml:space="preserve"> </w:t>
      </w:r>
      <w:r>
        <w:t xml:space="preserve">Quotation Estimate</w:t>
      </w:r>
      <w:r>
        <w:t xml:space="preserve"> </w:t>
      </w:r>
      <w:r>
        <w:t xml:space="preserve">shall be subject to the exclusive jurisdiction of the courts in</w:t>
      </w:r>
      <w:r>
        <w:t xml:space="preserve"> </w:t>
      </w:r>
      <w:r>
        <w:t xml:space="preserve">India Mumbai</w:t>
      </w:r>
      <w:r>
        <w:t xml:space="preserve">, Maharashtra, India.</w:t>
      </w:r>
    </w:p>
    <w:p>
      <w:pPr>
        <w:numPr>
          <w:ilvl w:val="0"/>
          <w:numId w:val="1002"/>
        </w:numPr>
        <w:pStyle w:val="Compact"/>
      </w:pPr>
      <w:r>
        <w:t xml:space="preserve">The fees quoted in this</w:t>
      </w:r>
      <w:r>
        <w:t xml:space="preserve"> </w:t>
      </w:r>
      <w:r>
        <w:t xml:space="preserve">Quotation Estimate</w:t>
      </w:r>
      <w:r>
        <w:t xml:space="preserve"> </w:t>
      </w:r>
      <w:r>
        <w:t xml:space="preserve">are exclusive of any applicable taxes. GST at 18% has been separately itemized as per the GST Act, 2017, as applicable in the state of Maharashtra,</w:t>
      </w:r>
      <w:r>
        <w:t xml:space="preserve"> </w:t>
      </w:r>
      <w:r>
        <w:t xml:space="preserve">India Mumbai</w:t>
      </w:r>
      <w:r>
        <w:t xml:space="preserve">.</w:t>
      </w:r>
    </w:p>
    <w:p>
      <w:pPr>
        <w:pStyle w:val="FirstParagraph"/>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scope of services, fee structure, and terms and conditions outlined herein for the engagement of the</w:t>
      </w:r>
      <w:r>
        <w:t xml:space="preserve"> </w:t>
      </w:r>
      <w:r>
        <w:t xml:space="preserve">Accountant</w:t>
      </w:r>
      <w:r>
        <w:t xml:space="preserve"> </w:t>
      </w:r>
      <w:r>
        <w:t xml:space="preserve">in</w:t>
      </w:r>
      <w:r>
        <w:t xml:space="preserve"> </w:t>
      </w:r>
      <w:r>
        <w:t xml:space="preserve">India Mumbai</w:t>
      </w:r>
      <w:r>
        <w:t xml:space="preserve">.</w:t>
      </w:r>
    </w:p>
    <w:p>
      <w:pPr>
        <w:pStyle w:val="BodyText"/>
      </w:pPr>
      <w:r>
        <w:rPr>
          <w:bCs/>
          <w:b/>
        </w:rPr>
        <w:t xml:space="preserve">For and on behalf of</w:t>
      </w:r>
      <w:r>
        <w:br/>
      </w:r>
      <w:r>
        <w:t xml:space="preserve">Meridian Accounting &amp; Financial Solutions Pvt. Ltd.</w:t>
      </w:r>
      <w:r>
        <w:br/>
      </w:r>
      <w:r>
        <w:t xml:space="preserve">(Provider – India Mumbai)</w:t>
      </w:r>
      <w:r>
        <w:br/>
      </w:r>
      <w:r>
        <w:br/>
      </w:r>
      <w:r>
        <w:t xml:space="preserve">Name: Ms. Anjali Deshmukh</w:t>
      </w:r>
      <w:r>
        <w:br/>
      </w:r>
      <w:r>
        <w:t xml:space="preserve">Designation: Senior Partner &amp; Lead Accountant</w:t>
      </w:r>
      <w:r>
        <w:br/>
      </w:r>
      <w:r>
        <w:t xml:space="preserve">Date: _______________</w:t>
      </w:r>
    </w:p>
    <w:p>
      <w:pPr>
        <w:pStyle w:val="BodyText"/>
      </w:pPr>
      <w:r>
        <w:rPr>
          <w:bCs/>
          <w:b/>
        </w:rPr>
        <w:t xml:space="preserve">For and on behalf of</w:t>
      </w:r>
      <w:r>
        <w:br/>
      </w:r>
      <w:r>
        <w:t xml:space="preserve">Kulkarni Textiles &amp; Trading LLP</w:t>
      </w:r>
      <w:r>
        <w:br/>
      </w:r>
      <w:r>
        <w:t xml:space="preserve">(Client – India Mumbai)</w:t>
      </w:r>
      <w:r>
        <w:br/>
      </w:r>
      <w:r>
        <w:br/>
      </w:r>
      <w:r>
        <w:t xml:space="preserve">Name: Mr. Rajesh Kulkarni</w:t>
      </w:r>
      <w:r>
        <w:br/>
      </w:r>
      <w:r>
        <w:t xml:space="preserve">Designation: Director</w:t>
      </w:r>
      <w:r>
        <w:br/>
      </w:r>
      <w:r>
        <w:t xml:space="preserve">Date: _______________</w:t>
      </w:r>
    </w:p>
    <w:p>
      <w:pPr>
        <w:pStyle w:val="BodyText"/>
      </w:pPr>
      <w:r>
        <w:t xml:space="preserve">This Quotation Estimate (Ref: QTE/MUM/2025/0487) is a confidential document intended solely for the named recipient. It does not constitute a binding contract until a formal Service Agreement is executed by both parties. All services shall be performed in India Mumbai, Maharashtra, India. © 2025 Meridian Accounting &amp; Financial Solutions Pvt.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India Mumbai</dc:title>
  <dc:creator/>
  <dc:language>en</dc:language>
  <cp:keywords/>
  <dcterms:created xsi:type="dcterms:W3CDTF">2026-10-10T06:44:23Z</dcterms:created>
  <dcterms:modified xsi:type="dcterms:W3CDTF">2026-10-10T06:44:23Z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