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quotation-estimate"/>
    <w:p>
      <w:pPr>
        <w:pStyle w:val="Heading1"/>
      </w:pPr>
      <w:r>
        <w:t xml:space="preserve">QUOTATION ESTIMATE</w:t>
      </w:r>
    </w:p>
    <w:p>
      <w:pPr>
        <w:pStyle w:val="FirstParagraph"/>
      </w:pPr>
      <w:r>
        <w:t xml:space="preserve">Professional Accountant Services | India New Delhi</w:t>
      </w:r>
    </w:p>
    <w:p>
      <w:pPr>
        <w:pStyle w:val="BodyText"/>
      </w:pPr>
      <w:r>
        <w:t xml:space="preserve">Document Reference: QE/ND/2025/0047 | Valid Until: 30 June 2025</w:t>
      </w:r>
    </w:p>
    <w:bookmarkEnd w:id="20"/>
    <w:p>
      <w:pPr>
        <w:pStyle w:val="BodyText"/>
      </w:pPr>
      <w:r>
        <w:t xml:space="preserve">Prepared By:</w:t>
      </w:r>
    </w:p>
    <w:p>
      <w:pPr>
        <w:pStyle w:val="BodyText"/>
      </w:pPr>
      <w:r>
        <w:t xml:space="preserve">Delhi Chartered Accountants LLP</w:t>
      </w:r>
    </w:p>
    <w:p>
      <w:pPr>
        <w:pStyle w:val="BodyText"/>
      </w:pPr>
      <w:r>
        <w:t xml:space="preserve">14, Connaught Place, New Delhi – 110001</w:t>
      </w:r>
    </w:p>
    <w:p>
      <w:pPr>
        <w:pStyle w:val="BodyText"/>
      </w:pPr>
      <w:r>
        <w:t xml:space="preserve">India | Ph: +91-11-4567-8900</w:t>
      </w:r>
    </w:p>
    <w:p>
      <w:pPr>
        <w:pStyle w:val="BodyText"/>
      </w:pPr>
      <w:r>
        <w:t xml:space="preserve">Email: quotes@delhicallp.in</w:t>
      </w:r>
    </w:p>
    <w:p>
      <w:pPr>
        <w:pStyle w:val="BodyText"/>
      </w:pPr>
      <w:r>
        <w:t xml:space="preserve">Prepared For:</w:t>
      </w:r>
    </w:p>
    <w:p>
      <w:pPr>
        <w:pStyle w:val="BodyText"/>
      </w:pPr>
      <w:r>
        <w:t xml:space="preserve">Mr. Rajesh Kumar Sharma</w:t>
      </w:r>
    </w:p>
    <w:p>
      <w:pPr>
        <w:pStyle w:val="BodyText"/>
      </w:pPr>
      <w:r>
        <w:t xml:space="preserve">Sharma Enterprises Pvt. Ltd.</w:t>
      </w:r>
    </w:p>
    <w:p>
      <w:pPr>
        <w:pStyle w:val="BodyText"/>
      </w:pPr>
      <w:r>
        <w:t xml:space="preserve">72, Karol Bagh, New Delhi – 110005</w:t>
      </w:r>
    </w:p>
    <w:p>
      <w:pPr>
        <w:pStyle w:val="BodyText"/>
      </w:pPr>
      <w:r>
        <w:t xml:space="preserve">India | Ph: +91-98123-45678</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Delhi Chartered Accountants LLP to provide a comprehensive and transparent financial breakdown for the engagement of a qualified</w:t>
      </w:r>
      <w:r>
        <w:t xml:space="preserve"> </w:t>
      </w:r>
      <w:r>
        <w:t xml:space="preserve">Accountant</w:t>
      </w:r>
      <w:r>
        <w:t xml:space="preserve"> </w:t>
      </w:r>
      <w:r>
        <w:t xml:space="preserve">to serve the operational and compliance needs of Sharma Enterprises Pvt. Ltd., a registered business entity based in</w:t>
      </w:r>
      <w:r>
        <w:t xml:space="preserve"> </w:t>
      </w:r>
      <w:r>
        <w:t xml:space="preserve">India New Delhi</w:t>
      </w:r>
      <w:r>
        <w:t xml:space="preserve">. This document outlines the scope of services, associated costs, payment schedules, and all applicable terms governing the professional engagement. The</w:t>
      </w:r>
      <w:r>
        <w:t xml:space="preserve"> </w:t>
      </w:r>
      <w:r>
        <w:t xml:space="preserve">Quotation Estimate</w:t>
      </w:r>
      <w:r>
        <w:t xml:space="preserve"> </w:t>
      </w:r>
      <w:r>
        <w:t xml:space="preserve">is prepared in accordance with the standards set by the Institute of Chartered Accountants of India (ICAI) and complies with all applicable regulations under the Companies Act, 2013, the Income Tax Act, 1961, and the Goods and Services Tax (GST) framework as enforced in the National Capital Territory of</w:t>
      </w:r>
      <w:r>
        <w:t xml:space="preserve"> </w:t>
      </w:r>
      <w:r>
        <w:t xml:space="preserve">India New Delhi</w:t>
      </w:r>
      <w:r>
        <w:t xml:space="preserve">.</w:t>
      </w:r>
    </w:p>
    <w:bookmarkEnd w:id="21"/>
    <w:bookmarkStart w:id="22" w:name="scope-of-accountant-services"/>
    <w:p>
      <w:pPr>
        <w:pStyle w:val="Heading2"/>
      </w:pPr>
      <w:r>
        <w:t xml:space="preserve">2. Scope of Accountant Services</w:t>
      </w:r>
    </w:p>
    <w:p>
      <w:pPr>
        <w:pStyle w:val="FirstParagraph"/>
      </w:pPr>
      <w:r>
        <w:t xml:space="preserve">The</w:t>
      </w:r>
      <w:r>
        <w:t xml:space="preserve"> </w:t>
      </w:r>
      <w:r>
        <w:t xml:space="preserve">Accountant</w:t>
      </w:r>
      <w:r>
        <w:t xml:space="preserve"> </w:t>
      </w:r>
      <w:r>
        <w:t xml:space="preserve">engaged under this</w:t>
      </w:r>
      <w:r>
        <w:t xml:space="preserve"> </w:t>
      </w:r>
      <w:r>
        <w:t xml:space="preserve">Quotation Estimate</w:t>
      </w:r>
      <w:r>
        <w:t xml:space="preserve"> </w:t>
      </w:r>
      <w:r>
        <w:t xml:space="preserve">shall perform the following duties on a full-time, on-site basis at the client's premises in</w:t>
      </w:r>
      <w:r>
        <w:t xml:space="preserve"> </w:t>
      </w:r>
      <w:r>
        <w:t xml:space="preserve">India New Delhi</w:t>
      </w:r>
      <w:r>
        <w:t xml:space="preserve">:</w:t>
      </w:r>
    </w:p>
    <w:p>
      <w:pPr>
        <w:numPr>
          <w:ilvl w:val="0"/>
          <w:numId w:val="1001"/>
        </w:numPr>
        <w:pStyle w:val="Compact"/>
      </w:pPr>
      <w:r>
        <w:t xml:space="preserve">Daily recording and reconciliation of all financial transactions including sales, purchases, receipts, and payments in compliance with Indian Accounting Standards (Ind AS).</w:t>
      </w:r>
    </w:p>
    <w:p>
      <w:pPr>
        <w:numPr>
          <w:ilvl w:val="0"/>
          <w:numId w:val="1001"/>
        </w:numPr>
        <w:pStyle w:val="Compact"/>
      </w:pPr>
      <w:r>
        <w:t xml:space="preserve">Preparation and filing of monthly GST returns (GSTR-1, GSTR-3B) and quarterly GSTR-9C reconciliation as mandated for businesses operating in</w:t>
      </w:r>
      <w:r>
        <w:t xml:space="preserve"> </w:t>
      </w:r>
      <w:r>
        <w:t xml:space="preserve">India New Delhi</w:t>
      </w:r>
      <w:r>
        <w:t xml:space="preserve">.</w:t>
      </w:r>
    </w:p>
    <w:p>
      <w:pPr>
        <w:numPr>
          <w:ilvl w:val="0"/>
          <w:numId w:val="1001"/>
        </w:numPr>
        <w:pStyle w:val="Compact"/>
      </w:pPr>
      <w:r>
        <w:t xml:space="preserve">Monthly and quarterly preparation of Profit &amp; Loss statements, Balance Sheets, and Cash Flow statements for internal management review.</w:t>
      </w:r>
    </w:p>
    <w:p>
      <w:pPr>
        <w:numPr>
          <w:ilvl w:val="0"/>
          <w:numId w:val="1001"/>
        </w:numPr>
        <w:pStyle w:val="Compact"/>
      </w:pPr>
      <w:r>
        <w:t xml:space="preserve">Annual statutory audit support, including preparation of audit schedules, trial balances, and coordination with the external statutory auditor.</w:t>
      </w:r>
    </w:p>
    <w:p>
      <w:pPr>
        <w:numPr>
          <w:ilvl w:val="0"/>
          <w:numId w:val="1001"/>
        </w:numPr>
        <w:pStyle w:val="Compact"/>
      </w:pPr>
      <w:r>
        <w:t xml:space="preserve">Computation and filing of TDS (Tax Deducted at Source) returns under Sections 192, 194C, 194H, and 194J of the Income Tax Act, 1961.</w:t>
      </w:r>
    </w:p>
    <w:p>
      <w:pPr>
        <w:numPr>
          <w:ilvl w:val="0"/>
          <w:numId w:val="1001"/>
        </w:numPr>
        <w:pStyle w:val="Compact"/>
      </w:pPr>
      <w:r>
        <w:t xml:space="preserve">Payroll processing for up to 50 employees, including PF (Provident Fund), ESI (Employee State Insurance), and Professional Tax deductions applicable in the Delhi region.</w:t>
      </w:r>
    </w:p>
    <w:p>
      <w:pPr>
        <w:numPr>
          <w:ilvl w:val="0"/>
          <w:numId w:val="1001"/>
        </w:numPr>
        <w:pStyle w:val="Compact"/>
      </w:pPr>
      <w:r>
        <w:t xml:space="preserve">Maintenance of statutory registers, ledgers, and books of account as required under the Companies Act, 2013, and the Income Tax Act.</w:t>
      </w:r>
    </w:p>
    <w:p>
      <w:pPr>
        <w:numPr>
          <w:ilvl w:val="0"/>
          <w:numId w:val="1001"/>
        </w:numPr>
        <w:pStyle w:val="Compact"/>
      </w:pPr>
      <w:r>
        <w:t xml:space="preserve">Bank reconciliation statements on a monthly basis for all current and savings accounts held with banks in</w:t>
      </w:r>
      <w:r>
        <w:t xml:space="preserve"> </w:t>
      </w:r>
      <w:r>
        <w:t xml:space="preserve">India New Delhi</w:t>
      </w:r>
      <w:r>
        <w:t xml:space="preserve">.</w:t>
      </w:r>
    </w:p>
    <w:p>
      <w:pPr>
        <w:numPr>
          <w:ilvl w:val="0"/>
          <w:numId w:val="1001"/>
        </w:numPr>
        <w:pStyle w:val="Compact"/>
      </w:pPr>
      <w:r>
        <w:t xml:space="preserve">Assistance in budgeting, forecasting, and financial planning for the fiscal year 2025-2026.</w:t>
      </w:r>
    </w:p>
    <w:p>
      <w:pPr>
        <w:numPr>
          <w:ilvl w:val="0"/>
          <w:numId w:val="1001"/>
        </w:numPr>
        <w:pStyle w:val="Compact"/>
      </w:pPr>
      <w:r>
        <w:t xml:space="preserve">Coordination with the Department of Revenue, GST Department, and other regulatory authorities in</w:t>
      </w:r>
      <w:r>
        <w:t xml:space="preserve"> </w:t>
      </w:r>
      <w:r>
        <w:t xml:space="preserve">India New Delhi</w:t>
      </w:r>
      <w:r>
        <w:t xml:space="preserve"> </w:t>
      </w:r>
      <w:r>
        <w:t xml:space="preserve">for any notices, assessments, or compliance queries.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Sr. No.</w:t>
            </w:r>
          </w:p>
        </w:tc>
        <w:tc>
          <w:tcPr/>
          <w:p>
            <w:pPr>
              <w:pStyle w:val="Compact"/>
              <w:jc w:val="left"/>
            </w:pPr>
            <w:r>
              <w:t xml:space="preserve">Service / Item Description</w:t>
            </w:r>
          </w:p>
        </w:tc>
        <w:tc>
          <w:tcPr/>
          <w:p>
            <w:pPr>
              <w:pStyle w:val="Compact"/>
              <w:jc w:val="left"/>
            </w:pPr>
            <w:r>
              <w:t xml:space="preserve">Frequency</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Monthly Professional Fee – Full-time Accountant (Chartered Accountant, 8+ years experience)</w:t>
            </w:r>
          </w:p>
        </w:tc>
        <w:tc>
          <w:tcPr/>
          <w:p>
            <w:pPr>
              <w:pStyle w:val="Compact"/>
              <w:jc w:val="left"/>
            </w:pPr>
            <w:r>
              <w:t xml:space="preserve">Monthly</w:t>
            </w:r>
          </w:p>
        </w:tc>
        <w:tc>
          <w:tcPr/>
          <w:p>
            <w:pPr>
              <w:pStyle w:val="Compact"/>
              <w:jc w:val="left"/>
            </w:pPr>
            <w:r>
              <w:t xml:space="preserve">₹ 65,000</w:t>
            </w:r>
          </w:p>
        </w:tc>
      </w:tr>
      <w:tr>
        <w:tc>
          <w:tcPr/>
          <w:p>
            <w:pPr>
              <w:pStyle w:val="Compact"/>
              <w:jc w:val="left"/>
            </w:pPr>
            <w:r>
              <w:t xml:space="preserve">2</w:t>
            </w:r>
          </w:p>
        </w:tc>
        <w:tc>
          <w:tcPr/>
          <w:p>
            <w:pPr>
              <w:pStyle w:val="Compact"/>
              <w:jc w:val="left"/>
            </w:pPr>
            <w:r>
              <w:t xml:space="preserve">Monthly Professional Fee – Junior Accountant / Accounts Assistant</w:t>
            </w:r>
          </w:p>
        </w:tc>
        <w:tc>
          <w:tcPr/>
          <w:p>
            <w:pPr>
              <w:pStyle w:val="Compact"/>
              <w:jc w:val="left"/>
            </w:pPr>
            <w:r>
              <w:t xml:space="preserve">Monthly</w:t>
            </w:r>
          </w:p>
        </w:tc>
        <w:tc>
          <w:tcPr/>
          <w:p>
            <w:pPr>
              <w:pStyle w:val="Compact"/>
              <w:jc w:val="left"/>
            </w:pPr>
            <w:r>
              <w:t xml:space="preserve">₹ 35,000</w:t>
            </w:r>
          </w:p>
        </w:tc>
      </w:tr>
      <w:tr>
        <w:tc>
          <w:tcPr/>
          <w:p>
            <w:pPr>
              <w:pStyle w:val="Compact"/>
              <w:jc w:val="left"/>
            </w:pPr>
            <w:r>
              <w:t xml:space="preserve">3</w:t>
            </w:r>
          </w:p>
        </w:tc>
        <w:tc>
          <w:tcPr/>
          <w:p>
            <w:pPr>
              <w:pStyle w:val="Compact"/>
              <w:jc w:val="left"/>
            </w:pPr>
            <w:r>
              <w:t xml:space="preserve">GST Filing &amp; Compliance (GSTR-1, GSTR-3B, GSTR-9C)</w:t>
            </w:r>
          </w:p>
        </w:tc>
        <w:tc>
          <w:tcPr/>
          <w:p>
            <w:pPr>
              <w:pStyle w:val="Compact"/>
              <w:jc w:val="left"/>
            </w:pPr>
            <w:r>
              <w:t xml:space="preserve">Monthly / Quarterly</w:t>
            </w:r>
          </w:p>
        </w:tc>
        <w:tc>
          <w:tcPr/>
          <w:p>
            <w:pPr>
              <w:pStyle w:val="Compact"/>
              <w:jc w:val="left"/>
            </w:pPr>
            <w:r>
              <w:t xml:space="preserve">₹ 8,000</w:t>
            </w:r>
          </w:p>
        </w:tc>
      </w:tr>
      <w:tr>
        <w:tc>
          <w:tcPr/>
          <w:p>
            <w:pPr>
              <w:pStyle w:val="Compact"/>
              <w:jc w:val="left"/>
            </w:pPr>
            <w:r>
              <w:t xml:space="preserve">4</w:t>
            </w:r>
          </w:p>
        </w:tc>
        <w:tc>
          <w:tcPr/>
          <w:p>
            <w:pPr>
              <w:pStyle w:val="Compact"/>
              <w:jc w:val="left"/>
            </w:pPr>
            <w:r>
              <w:t xml:space="preserve">TDS Return Filing (Quarterly) &amp; Annual Form 24Q/26Q</w:t>
            </w:r>
          </w:p>
        </w:tc>
        <w:tc>
          <w:tcPr/>
          <w:p>
            <w:pPr>
              <w:pStyle w:val="Compact"/>
              <w:jc w:val="left"/>
            </w:pPr>
            <w:r>
              <w:t xml:space="preserve">Quarterly</w:t>
            </w:r>
          </w:p>
        </w:tc>
        <w:tc>
          <w:tcPr/>
          <w:p>
            <w:pPr>
              <w:pStyle w:val="Compact"/>
              <w:jc w:val="left"/>
            </w:pPr>
            <w:r>
              <w:t xml:space="preserve">₹ 5,000</w:t>
            </w:r>
          </w:p>
        </w:tc>
      </w:tr>
      <w:tr>
        <w:tc>
          <w:tcPr/>
          <w:p>
            <w:pPr>
              <w:pStyle w:val="Compact"/>
              <w:jc w:val="left"/>
            </w:pPr>
            <w:r>
              <w:t xml:space="preserve">5</w:t>
            </w:r>
          </w:p>
        </w:tc>
        <w:tc>
          <w:tcPr/>
          <w:p>
            <w:pPr>
              <w:pStyle w:val="Compact"/>
              <w:jc w:val="left"/>
            </w:pPr>
            <w:r>
              <w:t xml:space="preserve">Payroll Processing (up to 50 employees) including PF, ESI, PT</w:t>
            </w:r>
          </w:p>
        </w:tc>
        <w:tc>
          <w:tcPr/>
          <w:p>
            <w:pPr>
              <w:pStyle w:val="Compact"/>
              <w:jc w:val="left"/>
            </w:pPr>
            <w:r>
              <w:t xml:space="preserve">Monthly</w:t>
            </w:r>
          </w:p>
        </w:tc>
        <w:tc>
          <w:tcPr/>
          <w:p>
            <w:pPr>
              <w:pStyle w:val="Compact"/>
              <w:jc w:val="left"/>
            </w:pPr>
            <w:r>
              <w:t xml:space="preserve">₹ 12,000</w:t>
            </w:r>
          </w:p>
        </w:tc>
      </w:tr>
      <w:tr>
        <w:tc>
          <w:tcPr/>
          <w:p>
            <w:pPr>
              <w:pStyle w:val="Compact"/>
              <w:jc w:val="left"/>
            </w:pPr>
            <w:r>
              <w:t xml:space="preserve">6</w:t>
            </w:r>
          </w:p>
        </w:tc>
        <w:tc>
          <w:tcPr/>
          <w:p>
            <w:pPr>
              <w:pStyle w:val="Compact"/>
              <w:jc w:val="left"/>
            </w:pPr>
            <w:r>
              <w:t xml:space="preserve">Annual Statutory Audit Support &amp; Coordination</w:t>
            </w:r>
          </w:p>
        </w:tc>
        <w:tc>
          <w:tcPr/>
          <w:p>
            <w:pPr>
              <w:pStyle w:val="Compact"/>
              <w:jc w:val="left"/>
            </w:pPr>
            <w:r>
              <w:t xml:space="preserve">Annual</w:t>
            </w:r>
          </w:p>
        </w:tc>
        <w:tc>
          <w:tcPr/>
          <w:p>
            <w:pPr>
              <w:pStyle w:val="Compact"/>
              <w:jc w:val="left"/>
            </w:pPr>
            <w:r>
              <w:t xml:space="preserve">₹ 45,000</w:t>
            </w:r>
          </w:p>
        </w:tc>
      </w:tr>
      <w:tr>
        <w:tc>
          <w:tcPr/>
          <w:p>
            <w:pPr>
              <w:pStyle w:val="Compact"/>
              <w:jc w:val="left"/>
            </w:pPr>
            <w:r>
              <w:t xml:space="preserve">7</w:t>
            </w:r>
          </w:p>
        </w:tc>
        <w:tc>
          <w:tcPr/>
          <w:p>
            <w:pPr>
              <w:pStyle w:val="Compact"/>
              <w:jc w:val="left"/>
            </w:pPr>
            <w:r>
              <w:t xml:space="preserve">Bank Reconciliation &amp; Ledger Maintenance</w:t>
            </w:r>
          </w:p>
        </w:tc>
        <w:tc>
          <w:tcPr/>
          <w:p>
            <w:pPr>
              <w:pStyle w:val="Compact"/>
              <w:jc w:val="left"/>
            </w:pPr>
            <w:r>
              <w:t xml:space="preserve">Monthly</w:t>
            </w:r>
          </w:p>
        </w:tc>
        <w:tc>
          <w:tcPr/>
          <w:p>
            <w:pPr>
              <w:pStyle w:val="Compact"/>
              <w:jc w:val="left"/>
            </w:pPr>
            <w:r>
              <w:t xml:space="preserve">₹ 4,000</w:t>
            </w:r>
          </w:p>
        </w:tc>
      </w:tr>
      <w:tr>
        <w:tc>
          <w:tcPr/>
          <w:p>
            <w:pPr>
              <w:pStyle w:val="Compact"/>
              <w:jc w:val="left"/>
            </w:pPr>
            <w:r>
              <w:t xml:space="preserve">8</w:t>
            </w:r>
          </w:p>
        </w:tc>
        <w:tc>
          <w:tcPr/>
          <w:p>
            <w:pPr>
              <w:pStyle w:val="Compact"/>
              <w:jc w:val="left"/>
            </w:pPr>
            <w:r>
              <w:t xml:space="preserve">Software &amp; Tools (Tally Prime, GST Portal Access, Payroll Software)</w:t>
            </w:r>
          </w:p>
        </w:tc>
        <w:tc>
          <w:tcPr/>
          <w:p>
            <w:pPr>
              <w:pStyle w:val="Compact"/>
              <w:jc w:val="left"/>
            </w:pPr>
            <w:r>
              <w:t xml:space="preserve">Annual</w:t>
            </w:r>
          </w:p>
        </w:tc>
        <w:tc>
          <w:tcPr/>
          <w:p>
            <w:pPr>
              <w:pStyle w:val="Compact"/>
              <w:jc w:val="left"/>
            </w:pPr>
            <w:r>
              <w:t xml:space="preserve">₹ 25,000</w:t>
            </w:r>
          </w:p>
        </w:tc>
      </w:tr>
      <w:tr>
        <w:tc>
          <w:tcPr/>
          <w:p>
            <w:pPr>
              <w:pStyle w:val="Compact"/>
              <w:jc w:val="left"/>
            </w:pPr>
            <w:r>
              <w:t xml:space="preserve">9</w:t>
            </w:r>
          </w:p>
        </w:tc>
        <w:tc>
          <w:tcPr/>
          <w:p>
            <w:pPr>
              <w:pStyle w:val="Compact"/>
              <w:jc w:val="left"/>
            </w:pPr>
            <w:r>
              <w:t xml:space="preserve">Travel &amp; Local Transportation within New Delhi (on-site visits)</w:t>
            </w:r>
          </w:p>
        </w:tc>
        <w:tc>
          <w:tcPr/>
          <w:p>
            <w:pPr>
              <w:pStyle w:val="Compact"/>
              <w:jc w:val="left"/>
            </w:pPr>
            <w:r>
              <w:t xml:space="preserve">Monthly</w:t>
            </w:r>
          </w:p>
        </w:tc>
        <w:tc>
          <w:tcPr/>
          <w:p>
            <w:pPr>
              <w:pStyle w:val="Compact"/>
              <w:jc w:val="left"/>
            </w:pPr>
            <w:r>
              <w:t xml:space="preserve">₹ 3,000</w:t>
            </w:r>
          </w:p>
        </w:tc>
      </w:tr>
      <w:tr>
        <w:tc>
          <w:tcPr/>
          <w:p>
            <w:pPr>
              <w:pStyle w:val="Compact"/>
              <w:jc w:val="left"/>
            </w:pPr>
            <w:r>
              <w:t xml:space="preserve">10</w:t>
            </w:r>
          </w:p>
        </w:tc>
        <w:tc>
          <w:tcPr/>
          <w:p>
            <w:pPr>
              <w:pStyle w:val="Compact"/>
              <w:jc w:val="left"/>
            </w:pPr>
            <w:r>
              <w:t xml:space="preserve">One-time Onboarding &amp; System Setup Fee</w:t>
            </w:r>
          </w:p>
        </w:tc>
        <w:tc>
          <w:tcPr/>
          <w:p>
            <w:pPr>
              <w:pStyle w:val="Compact"/>
              <w:jc w:val="left"/>
            </w:pPr>
            <w:r>
              <w:t xml:space="preserve">One-time</w:t>
            </w:r>
          </w:p>
        </w:tc>
        <w:tc>
          <w:tcPr/>
          <w:p>
            <w:pPr>
              <w:pStyle w:val="Compact"/>
              <w:jc w:val="left"/>
            </w:pPr>
            <w:r>
              <w:t xml:space="preserve">₹ 20,000</w:t>
            </w:r>
          </w:p>
        </w:tc>
      </w:tr>
      <w:tr>
        <w:tc>
          <w:tcPr>
            <w:gridSpan w:val="3"/>
          </w:tcPr>
          <w:p>
            <w:pPr>
              <w:pStyle w:val="Compact"/>
              <w:jc w:val="left"/>
            </w:pPr>
            <w:r>
              <w:t xml:space="preserve">Subtotal (Monthly Recurring)</w:t>
            </w:r>
          </w:p>
        </w:tc>
        <w:tc>
          <w:tcPr/>
          <w:p>
            <w:pPr>
              <w:pStyle w:val="Compact"/>
              <w:jc w:val="left"/>
            </w:pPr>
            <w:r>
              <w:t xml:space="preserve">₹ 127,000</w:t>
            </w:r>
          </w:p>
        </w:tc>
      </w:tr>
      <w:tr>
        <w:tc>
          <w:tcPr>
            <w:gridSpan w:val="3"/>
          </w:tcPr>
          <w:p>
            <w:pPr>
              <w:pStyle w:val="Compact"/>
              <w:jc w:val="left"/>
            </w:pPr>
            <w:r>
              <w:t xml:space="preserve">Subtotal (Annual / One-time)</w:t>
            </w:r>
          </w:p>
        </w:tc>
        <w:tc>
          <w:tcPr/>
          <w:p>
            <w:pPr>
              <w:pStyle w:val="Compact"/>
              <w:jc w:val="left"/>
            </w:pPr>
            <w:r>
              <w:t xml:space="preserve">₹ 90,000</w:t>
            </w:r>
          </w:p>
        </w:tc>
      </w:tr>
      <w:tr>
        <w:tc>
          <w:tcPr>
            <w:gridSpan w:val="3"/>
          </w:tcPr>
          <w:p>
            <w:pPr>
              <w:pStyle w:val="Compact"/>
              <w:jc w:val="left"/>
            </w:pPr>
            <w:r>
              <w:t xml:space="preserve">Applicable GST @ 18% (on professional services)</w:t>
            </w:r>
          </w:p>
        </w:tc>
        <w:tc>
          <w:tcPr/>
          <w:p>
            <w:pPr>
              <w:pStyle w:val="Compact"/>
              <w:jc w:val="left"/>
            </w:pPr>
            <w:r>
              <w:t xml:space="preserve">₹ 34,020</w:t>
            </w:r>
          </w:p>
        </w:tc>
      </w:tr>
      <w:tr>
        <w:tc>
          <w:tcPr>
            <w:gridSpan w:val="3"/>
          </w:tcPr>
          <w:p>
            <w:pPr>
              <w:pStyle w:val="Compact"/>
              <w:jc w:val="left"/>
            </w:pPr>
            <w:r>
              <w:rPr>
                <w:bCs/>
                <w:b/>
              </w:rPr>
              <w:t xml:space="preserve">GRAND TOTAL (First Year – INR)</w:t>
            </w:r>
          </w:p>
        </w:tc>
        <w:tc>
          <w:tcPr/>
          <w:p>
            <w:pPr>
              <w:pStyle w:val="Compact"/>
              <w:jc w:val="left"/>
            </w:pPr>
            <w:r>
              <w:rPr>
                <w:bCs/>
                <w:b/>
              </w:rPr>
              <w:t xml:space="preserve">₹ 2,404,020</w:t>
            </w:r>
          </w:p>
        </w:tc>
      </w:tr>
    </w:tbl>
    <w:bookmarkEnd w:id="23"/>
    <w:bookmarkStart w:id="24" w:name="payment-terms-schedule"/>
    <w:p>
      <w:pPr>
        <w:pStyle w:val="Heading2"/>
      </w:pPr>
      <w:r>
        <w:t xml:space="preserve">4. Payment Terms &amp; Schedule</w:t>
      </w:r>
    </w:p>
    <w:p>
      <w:pPr>
        <w:pStyle w:val="FirstParagraph"/>
      </w:pPr>
      <w:r>
        <w:t xml:space="preserve">The</w:t>
      </w:r>
      <w:r>
        <w:t xml:space="preserve"> </w:t>
      </w:r>
      <w:r>
        <w:t xml:space="preserve">Quotation Estimate</w:t>
      </w:r>
      <w:r>
        <w:t xml:space="preserve"> </w:t>
      </w:r>
      <w:r>
        <w:t xml:space="preserve">stipulates the following payment structure for the</w:t>
      </w:r>
      <w:r>
        <w:t xml:space="preserve"> </w:t>
      </w:r>
      <w:r>
        <w:t xml:space="preserve">Accountant</w:t>
      </w:r>
      <w:r>
        <w:t xml:space="preserve"> </w:t>
      </w:r>
      <w:r>
        <w:t xml:space="preserve">engagement in</w:t>
      </w:r>
      <w:r>
        <w:t xml:space="preserve"> </w:t>
      </w:r>
      <w:r>
        <w:t xml:space="preserve">India New Delhi</w:t>
      </w:r>
      <w:r>
        <w:t xml:space="preserve">:</w:t>
      </w:r>
    </w:p>
    <w:p>
      <w:pPr>
        <w:numPr>
          <w:ilvl w:val="0"/>
          <w:numId w:val="1002"/>
        </w:numPr>
        <w:pStyle w:val="Compact"/>
      </w:pPr>
      <w:r>
        <w:t xml:space="preserve">Monthly professional fees shall be payable by the 5th of the following month via NEFT/RTGS to the firm's designated bank account in New Delhi.</w:t>
      </w:r>
    </w:p>
    <w:p>
      <w:pPr>
        <w:numPr>
          <w:ilvl w:val="0"/>
          <w:numId w:val="1002"/>
        </w:numPr>
        <w:pStyle w:val="Compact"/>
      </w:pPr>
      <w:r>
        <w:t xml:space="preserve">The one-time onboarding fee of ₹20,000 is due upon signing of the engagement letter.</w:t>
      </w:r>
    </w:p>
    <w:p>
      <w:pPr>
        <w:numPr>
          <w:ilvl w:val="0"/>
          <w:numId w:val="1002"/>
        </w:numPr>
        <w:pStyle w:val="Compact"/>
      </w:pPr>
      <w:r>
        <w:t xml:space="preserve">Annual charges (statutory audit support, software) shall be invoiced in April of each financial year.</w:t>
      </w:r>
    </w:p>
    <w:p>
      <w:pPr>
        <w:numPr>
          <w:ilvl w:val="0"/>
          <w:numId w:val="1002"/>
        </w:numPr>
        <w:pStyle w:val="Compact"/>
      </w:pPr>
      <w:r>
        <w:t xml:space="preserve">A 1.5% monthly interest shall apply on any overdue payments beyond 15 days of the due date.</w:t>
      </w:r>
    </w:p>
    <w:p>
      <w:pPr>
        <w:numPr>
          <w:ilvl w:val="0"/>
          <w:numId w:val="1002"/>
        </w:numPr>
        <w:pStyle w:val="Compact"/>
      </w:pPr>
      <w:r>
        <w:t xml:space="preserve">All amounts are exclusive of GST, which shall be added at the prevailing rate of 18% as applicable in</w:t>
      </w:r>
      <w:r>
        <w:t xml:space="preserve"> </w:t>
      </w:r>
      <w:r>
        <w:t xml:space="preserve">India New Delhi</w:t>
      </w:r>
      <w:r>
        <w:t xml:space="preserve">.</w:t>
      </w:r>
    </w:p>
    <w:bookmarkEnd w:id="24"/>
    <w:bookmarkStart w:id="25" w:name="terms-conditions"/>
    <w:p>
      <w:pPr>
        <w:pStyle w:val="Heading2"/>
      </w:pPr>
      <w:r>
        <w:t xml:space="preserve">5. Terms &amp; Conditions</w:t>
      </w:r>
    </w:p>
    <w:p>
      <w:pPr>
        <w:numPr>
          <w:ilvl w:val="0"/>
          <w:numId w:val="1003"/>
        </w:numPr>
        <w:pStyle w:val="Compact"/>
      </w:pPr>
      <w:r>
        <w:t xml:space="preserve">This</w:t>
      </w:r>
      <w:r>
        <w:t xml:space="preserve"> </w:t>
      </w:r>
      <w:r>
        <w:t xml:space="preserve">Quotation Estimate</w:t>
      </w:r>
      <w:r>
        <w:t xml:space="preserve"> </w:t>
      </w:r>
      <w:r>
        <w:t xml:space="preserve">is valid for a period of 30 days from the date of issue. Beyond this period, rates may be revised to reflect market conditions in</w:t>
      </w:r>
      <w:r>
        <w:t xml:space="preserve"> </w:t>
      </w:r>
      <w:r>
        <w:t xml:space="preserve">India New Delhi</w:t>
      </w:r>
      <w:r>
        <w:t xml:space="preserve">.</w:t>
      </w:r>
    </w:p>
    <w:p>
      <w:pPr>
        <w:numPr>
          <w:ilvl w:val="0"/>
          <w:numId w:val="1003"/>
        </w:numPr>
        <w:pStyle w:val="Compact"/>
      </w:pPr>
      <w:r>
        <w:t xml:space="preserve">The engagement is for a minimum term of 12 (twelve) months. Early termination requires a 60-day written notice and payment of all dues up to the termination date.</w:t>
      </w:r>
    </w:p>
    <w:p>
      <w:pPr>
        <w:numPr>
          <w:ilvl w:val="0"/>
          <w:numId w:val="1003"/>
        </w:numPr>
        <w:pStyle w:val="Compact"/>
      </w:pPr>
      <w:r>
        <w:t xml:space="preserve">The</w:t>
      </w:r>
      <w:r>
        <w:t xml:space="preserve"> </w:t>
      </w:r>
      <w:r>
        <w:t xml:space="preserve">Accountant</w:t>
      </w:r>
      <w:r>
        <w:t xml:space="preserve"> </w:t>
      </w:r>
      <w:r>
        <w:t xml:space="preserve">shall maintain strict confidentiality of all financial data, trade secrets, and proprietary information of the client as per the ICAI Code of Ethics.</w:t>
      </w:r>
    </w:p>
    <w:p>
      <w:pPr>
        <w:numPr>
          <w:ilvl w:val="0"/>
          <w:numId w:val="1003"/>
        </w:numPr>
        <w:pStyle w:val="Compact"/>
      </w:pPr>
      <w:r>
        <w:t xml:space="preserve">The firm shall carry professional indemnity insurance of not less than ₹50,00,000 to cover any errors or omissions in the services rendered.</w:t>
      </w:r>
    </w:p>
    <w:p>
      <w:pPr>
        <w:numPr>
          <w:ilvl w:val="0"/>
          <w:numId w:val="1003"/>
        </w:numPr>
        <w:pStyle w:val="Compact"/>
      </w:pPr>
      <w:r>
        <w:t xml:space="preserve">Any disputes arising from this engagement shall be subject to the exclusive jurisdiction of the courts in</w:t>
      </w:r>
      <w:r>
        <w:t xml:space="preserve"> </w:t>
      </w:r>
      <w:r>
        <w:t xml:space="preserve">India New Delhi</w:t>
      </w:r>
      <w:r>
        <w:t xml:space="preserve">.</w:t>
      </w:r>
    </w:p>
    <w:p>
      <w:pPr>
        <w:numPr>
          <w:ilvl w:val="0"/>
          <w:numId w:val="1003"/>
        </w:numPr>
        <w:pStyle w:val="Compact"/>
      </w:pPr>
      <w:r>
        <w:t xml:space="preserve">The client agrees to provide timely access to all books, records, bank statements, and supporting documents required for the</w:t>
      </w:r>
      <w:r>
        <w:t xml:space="preserve"> </w:t>
      </w:r>
      <w:r>
        <w:t xml:space="preserve">Accountant</w:t>
      </w:r>
      <w:r>
        <w:t xml:space="preserve"> </w:t>
      </w:r>
      <w:r>
        <w:t xml:space="preserve">to perform duties effectively.</w:t>
      </w:r>
    </w:p>
    <w:p>
      <w:pPr>
        <w:numPr>
          <w:ilvl w:val="0"/>
          <w:numId w:val="1003"/>
        </w:numPr>
        <w:pStyle w:val="Compact"/>
      </w:pPr>
      <w:r>
        <w:t xml:space="preserve">Force majeure events, including but not limited to government-mandated lockdowns, natural disasters, or regulatory changes in</w:t>
      </w:r>
      <w:r>
        <w:t xml:space="preserve"> </w:t>
      </w:r>
      <w:r>
        <w:t xml:space="preserve">India New Delhi</w:t>
      </w:r>
      <w:r>
        <w:t xml:space="preserve">, shall be handled through mutual consultation.</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fee structure outlined herein for the engagement of the</w:t>
      </w:r>
      <w:r>
        <w:t xml:space="preserve"> </w:t>
      </w:r>
      <w:r>
        <w:t xml:space="preserve">Accountant</w:t>
      </w:r>
      <w:r>
        <w:t xml:space="preserve"> </w:t>
      </w:r>
      <w:r>
        <w:t xml:space="preserve">services in</w:t>
      </w:r>
      <w:r>
        <w:t xml:space="preserve"> </w:t>
      </w:r>
      <w:r>
        <w:t xml:space="preserve">India New Delhi</w:t>
      </w:r>
      <w:r>
        <w:t xml:space="preserve">.</w:t>
      </w:r>
    </w:p>
    <w:p>
      <w:pPr>
        <w:pStyle w:val="BodyText"/>
      </w:pPr>
      <w:r>
        <w:rPr>
          <w:bCs/>
          <w:b/>
        </w:rPr>
        <w:t xml:space="preserve">For: Delhi Chartered Accountants LLP</w:t>
      </w:r>
      <w:r>
        <w:br/>
      </w:r>
      <w:r>
        <w:t xml:space="preserve">Authorized Signatory</w:t>
      </w:r>
      <w:r>
        <w:br/>
      </w:r>
      <w:r>
        <w:t xml:space="preserve">Name: CA Anil Mehta</w:t>
      </w:r>
      <w:r>
        <w:br/>
      </w:r>
      <w:r>
        <w:t xml:space="preserve">Membership No.: 104582</w:t>
      </w:r>
      <w:r>
        <w:br/>
      </w:r>
      <w:r>
        <w:t xml:space="preserve">Date: _______________</w:t>
      </w:r>
    </w:p>
    <w:p>
      <w:pPr>
        <w:pStyle w:val="BodyText"/>
      </w:pPr>
      <w:r>
        <w:rPr>
          <w:bCs/>
          <w:b/>
        </w:rPr>
        <w:t xml:space="preserve">For: Sharma Enterprises Pvt. Ltd.</w:t>
      </w:r>
      <w:r>
        <w:br/>
      </w:r>
      <w:r>
        <w:t xml:space="preserve">Authorized Signatory</w:t>
      </w:r>
      <w:r>
        <w:br/>
      </w:r>
      <w:r>
        <w:t xml:space="preserve">Name: Mr. Rajesh Kumar Sharma</w:t>
      </w:r>
      <w:r>
        <w:br/>
      </w:r>
      <w:r>
        <w:t xml:space="preserve">Designation: Director</w:t>
      </w:r>
      <w:r>
        <w:br/>
      </w:r>
      <w:r>
        <w:t xml:space="preserve">Date: _______________</w:t>
      </w:r>
    </w:p>
    <w:p>
      <w:pPr>
        <w:pStyle w:val="BodyText"/>
      </w:pPr>
      <w:r>
        <w:rPr>
          <w:bCs/>
          <w:b/>
        </w:rPr>
        <w:t xml:space="preserve">Delhi Chartered Accountants LLP</w:t>
      </w:r>
      <w:r>
        <w:t xml:space="preserve"> </w:t>
      </w:r>
      <w:r>
        <w:t xml:space="preserve">| 14, Connaught Place, New Delhi – 110001, India</w:t>
      </w:r>
      <w:r>
        <w:br/>
      </w:r>
      <w:r>
        <w:t xml:space="preserve">GSTIN: 07AABCD1234E1Z5 | ICAI Firm Registration No: 101234N</w:t>
      </w:r>
      <w:r>
        <w:br/>
      </w:r>
      <w:r>
        <w:t xml:space="preserve">This Quotation Estimate is a confidential document intended solely for the named recipient. Unauthorized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Accountant Services - India New Delhi</dc:title>
  <dc:creator/>
  <dc:language>en</dc:language>
  <cp:keywords/>
  <dcterms:created xsi:type="dcterms:W3CDTF">2026-10-10T08:38:19Z</dcterms:created>
  <dcterms:modified xsi:type="dcterms:W3CDTF">2026-10-10T08:38:19Z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