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pt-nusantara-professional-services"/>
    <w:p>
      <w:pPr>
        <w:pStyle w:val="Heading1"/>
      </w:pPr>
      <w:r>
        <w:t xml:space="preserve">PT Nusantara Professional Services</w:t>
      </w:r>
    </w:p>
    <w:p>
      <w:pPr>
        <w:pStyle w:val="FirstParagraph"/>
      </w:pPr>
      <w:r>
        <w:t xml:space="preserve">Jl. Jend. Sudirman Kav. 52-53, SCBD District, Jakarta Selatan 12190, Indonesia</w:t>
      </w:r>
    </w:p>
    <w:p>
      <w:pPr>
        <w:pStyle w:val="BodyText"/>
      </w:pPr>
      <w:r>
        <w:t xml:space="preserve">Tel: +62 21 5150 8888 | Email: quotation@nusantaraservices.co.id</w:t>
      </w:r>
    </w:p>
    <w:p>
      <w:pPr>
        <w:pStyle w:val="BodyText"/>
      </w:pPr>
      <w:r>
        <w:t xml:space="preserve">NPWP: 01.234.567.8-051.000 | Business License: 11.00.1.03.74.0001234</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QTE/JKT/2025/00472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By:</w:t>
      </w:r>
      <w:r>
        <w:t xml:space="preserve"> </w:t>
      </w:r>
      <w:r>
        <w:t xml:space="preserve">Hendra Wijaya, Senior Accountant</w:t>
      </w:r>
    </w:p>
    <w:p>
      <w:pPr>
        <w:pStyle w:val="BodyText"/>
      </w:pPr>
      <w:r>
        <w:rPr>
          <w:bCs/>
          <w:b/>
        </w:rPr>
        <w:t xml:space="preserve">Service Location:</w:t>
      </w:r>
      <w:r>
        <w:t xml:space="preserve"> </w:t>
      </w:r>
      <w:r>
        <w:t xml:space="preserve">Indonesia Jakarta</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PT Maju Sejahtera Trading</w:t>
      </w:r>
    </w:p>
    <w:p>
      <w:pPr>
        <w:pStyle w:val="BodyText"/>
      </w:pPr>
      <w:r>
        <w:rPr>
          <w:bCs/>
          <w:b/>
        </w:rPr>
        <w:t xml:space="preserve">Address:</w:t>
      </w:r>
      <w:r>
        <w:t xml:space="preserve"> </w:t>
      </w:r>
      <w:r>
        <w:t xml:space="preserve">Menara Sudirman Lt. 21, Jakarta Pusat 10220, Indonesia</w:t>
      </w:r>
    </w:p>
    <w:p>
      <w:pPr>
        <w:pStyle w:val="BodyText"/>
      </w:pPr>
      <w:r>
        <w:rPr>
          <w:bCs/>
          <w:b/>
        </w:rPr>
        <w:t xml:space="preserve">Contact Person:</w:t>
      </w:r>
      <w:r>
        <w:t xml:space="preserve"> </w:t>
      </w:r>
      <w:r>
        <w:t xml:space="preserve">Ibu Ratna Dewi, Finance Director</w:t>
      </w:r>
    </w:p>
    <w:p>
      <w:pPr>
        <w:pStyle w:val="BodyText"/>
      </w:pPr>
      <w:r>
        <w:rPr>
          <w:bCs/>
          <w:b/>
        </w:rPr>
        <w:t xml:space="preserve">Email:</w:t>
      </w:r>
      <w:r>
        <w:t xml:space="preserve"> </w:t>
      </w:r>
      <w:r>
        <w:t xml:space="preserve">ratna.dewi@majusejahtera.co.id</w:t>
      </w:r>
    </w:p>
    <w:p>
      <w:pPr>
        <w:pStyle w:val="BodyText"/>
      </w:pPr>
      <w:r>
        <w:rPr>
          <w:bCs/>
          <w:b/>
        </w:rPr>
        <w:t xml:space="preserve">Phone:</w:t>
      </w:r>
      <w:r>
        <w:t xml:space="preserve"> </w:t>
      </w:r>
      <w:r>
        <w:t xml:space="preserve">+62 812 3456 7890</w:t>
      </w:r>
    </w:p>
    <w:bookmarkEnd w:id="22"/>
    <w:p>
      <w:pPr>
        <w:pStyle w:val="BodyText"/>
      </w:pPr>
      <w:r>
        <w:t xml:space="preserve">Dear Ibu Ratna Dewi,</w:t>
      </w:r>
    </w:p>
    <w:p>
      <w:pPr>
        <w:pStyle w:val="BodyText"/>
      </w:pPr>
      <w:r>
        <w:t xml:space="preserve">Thank you for considering PT Nusantara Professional Services for your financial management needs. This</w:t>
      </w:r>
      <w:r>
        <w:t xml:space="preserve"> </w:t>
      </w:r>
      <w:r>
        <w:t xml:space="preserve">Quotation Estimate</w:t>
      </w:r>
      <w:r>
        <w:t xml:space="preserve"> </w:t>
      </w:r>
      <w:r>
        <w:t xml:space="preserve">outlines the comprehensive</w:t>
      </w:r>
      <w:r>
        <w:t xml:space="preserve"> </w:t>
      </w:r>
      <w:r>
        <w:t xml:space="preserve">Accountant</w:t>
      </w:r>
      <w:r>
        <w:t xml:space="preserve"> </w:t>
      </w:r>
      <w:r>
        <w:t xml:space="preserve">services we propose to deliver to your organization based in</w:t>
      </w:r>
      <w:r>
        <w:t xml:space="preserve"> </w:t>
      </w:r>
      <w:r>
        <w:t xml:space="preserve">Indonesia Jakarta</w:t>
      </w:r>
      <w:r>
        <w:t xml:space="preserve">. Our team of certified</w:t>
      </w:r>
      <w:r>
        <w:t xml:space="preserve"> </w:t>
      </w:r>
      <w:r>
        <w:t xml:space="preserve">Accountant</w:t>
      </w:r>
      <w:r>
        <w:t xml:space="preserve"> </w:t>
      </w:r>
      <w:r>
        <w:t xml:space="preserve">professionals has extensive experience serving businesses across the Jakarta metropolitan area, ensuring full compliance with Indonesian tax regulations, OJK guidelines, and international accounting standards (IFRS) as adopted in Indonesia.</w:t>
      </w:r>
    </w:p>
    <w:p>
      <w:pPr>
        <w:pStyle w:val="BodyText"/>
      </w:pPr>
      <w:r>
        <w:t xml:space="preserve">Scope of Accountant Services</w:t>
      </w:r>
    </w:p>
    <w:p>
      <w:pPr>
        <w:pStyle w:val="BodyText"/>
      </w:pPr>
      <w:r>
        <w:t xml:space="preserve">The following</w:t>
      </w:r>
      <w:r>
        <w:t xml:space="preserve"> </w:t>
      </w:r>
      <w:r>
        <w:t xml:space="preserve">Quotation Estimate</w:t>
      </w:r>
      <w:r>
        <w:t xml:space="preserve"> </w:t>
      </w:r>
      <w:r>
        <w:t xml:space="preserve">covers a full-cycle</w:t>
      </w:r>
      <w:r>
        <w:t xml:space="preserve"> </w:t>
      </w:r>
      <w:r>
        <w:t xml:space="preserve">Accountant</w:t>
      </w:r>
      <w:r>
        <w:t xml:space="preserve"> </w:t>
      </w:r>
      <w:r>
        <w:t xml:space="preserve">engagement tailored specifically for operations within</w:t>
      </w:r>
      <w:r>
        <w:t xml:space="preserve"> </w:t>
      </w:r>
      <w:r>
        <w:t xml:space="preserve">Indonesia Jakarta</w:t>
      </w:r>
      <w:r>
        <w:t xml:space="preserve">. Our</w:t>
      </w:r>
      <w:r>
        <w:t xml:space="preserve"> </w:t>
      </w:r>
      <w:r>
        <w:t xml:space="preserve">Accountant</w:t>
      </w:r>
      <w:r>
        <w:t xml:space="preserve"> </w:t>
      </w:r>
      <w:r>
        <w:t xml:space="preserve">team will be stationed at your Jakarta office or operate remotely with weekly on-site visits, depending on your preference. All services are designed to meet the regulatory requirements set forth by the Directorate General of Taxes (DGT) of Indonesia and the local Jakarta municipal authorities.</w:t>
      </w:r>
    </w:p>
    <w:p>
      <w:pPr>
        <w:pStyle w:val="BodyText"/>
      </w:pPr>
      <w:r>
        <w:t xml:space="preserve">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Unit</w:t>
            </w:r>
          </w:p>
        </w:tc>
        <w:tc>
          <w:tcPr/>
          <w:p>
            <w:pPr>
              <w:pStyle w:val="Compact"/>
              <w:jc w:val="left"/>
            </w:pPr>
            <w:r>
              <w:t xml:space="preserve">Rate (IDR)</w:t>
            </w:r>
          </w:p>
        </w:tc>
        <w:tc>
          <w:tcPr/>
          <w:p>
            <w:pPr>
              <w:pStyle w:val="Compact"/>
              <w:jc w:val="left"/>
            </w:pPr>
            <w:r>
              <w:t xml:space="preserve">Amount (IDR)</w:t>
            </w:r>
          </w:p>
        </w:tc>
      </w:tr>
      <w:tr>
        <w:tc>
          <w:tcPr/>
          <w:p>
            <w:pPr>
              <w:pStyle w:val="Compact"/>
              <w:jc w:val="left"/>
            </w:pPr>
            <w:r>
              <w:t xml:space="preserve">1</w:t>
            </w:r>
          </w:p>
        </w:tc>
        <w:tc>
          <w:tcPr/>
          <w:p>
            <w:pPr>
              <w:pStyle w:val="Compact"/>
              <w:jc w:val="left"/>
            </w:pPr>
            <w:r>
              <w:t xml:space="preserve">Monthly Financial Bookkeeping &amp; Journal Entries (Accountant Service)</w:t>
            </w:r>
          </w:p>
        </w:tc>
        <w:tc>
          <w:tcPr/>
          <w:p>
            <w:pPr>
              <w:pStyle w:val="Compact"/>
              <w:jc w:val="left"/>
            </w:pPr>
            <w:r>
              <w:t xml:space="preserve">Monthly</w:t>
            </w:r>
          </w:p>
        </w:tc>
        <w:tc>
          <w:tcPr/>
          <w:p>
            <w:pPr>
              <w:pStyle w:val="Compact"/>
              <w:jc w:val="left"/>
            </w:pPr>
            <w:r>
              <w:t xml:space="preserve">12 months</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2</w:t>
            </w:r>
          </w:p>
        </w:tc>
        <w:tc>
          <w:tcPr/>
          <w:p>
            <w:pPr>
              <w:pStyle w:val="Compact"/>
              <w:jc w:val="left"/>
            </w:pPr>
            <w:r>
              <w:t xml:space="preserve">Monthly Tax Filing &amp; Compliance (PPh 21, PPh 23, PPN) – Indonesia Jakarta DGT</w:t>
            </w:r>
          </w:p>
        </w:tc>
        <w:tc>
          <w:tcPr/>
          <w:p>
            <w:pPr>
              <w:pStyle w:val="Compact"/>
              <w:jc w:val="left"/>
            </w:pPr>
            <w:r>
              <w:t xml:space="preserve">Monthly</w:t>
            </w:r>
          </w:p>
        </w:tc>
        <w:tc>
          <w:tcPr/>
          <w:p>
            <w:pPr>
              <w:pStyle w:val="Compact"/>
              <w:jc w:val="left"/>
            </w:pPr>
            <w:r>
              <w:t xml:space="preserve">12 months</w:t>
            </w:r>
          </w:p>
        </w:tc>
        <w:tc>
          <w:tcPr/>
          <w:p>
            <w:pPr>
              <w:pStyle w:val="Compact"/>
              <w:jc w:val="left"/>
            </w:pPr>
            <w:r>
              <w:t xml:space="preserve">4,200,000</w:t>
            </w:r>
          </w:p>
        </w:tc>
        <w:tc>
          <w:tcPr/>
          <w:p>
            <w:pPr>
              <w:pStyle w:val="Compact"/>
              <w:jc w:val="left"/>
            </w:pPr>
            <w:r>
              <w:t xml:space="preserve">50,400,000</w:t>
            </w:r>
          </w:p>
        </w:tc>
      </w:tr>
      <w:tr>
        <w:tc>
          <w:tcPr/>
          <w:p>
            <w:pPr>
              <w:pStyle w:val="Compact"/>
              <w:jc w:val="left"/>
            </w:pPr>
            <w:r>
              <w:t xml:space="preserve">3</w:t>
            </w:r>
          </w:p>
        </w:tc>
        <w:tc>
          <w:tcPr/>
          <w:p>
            <w:pPr>
              <w:pStyle w:val="Compact"/>
              <w:jc w:val="left"/>
            </w:pPr>
            <w:r>
              <w:t xml:space="preserve">Quarterly Financial Reporting &amp; Management Accounts</w:t>
            </w:r>
          </w:p>
        </w:tc>
        <w:tc>
          <w:tcPr/>
          <w:p>
            <w:pPr>
              <w:pStyle w:val="Compact"/>
              <w:jc w:val="left"/>
            </w:pPr>
            <w:r>
              <w:t xml:space="preserve">Quarterly</w:t>
            </w:r>
          </w:p>
        </w:tc>
        <w:tc>
          <w:tcPr/>
          <w:p>
            <w:pPr>
              <w:pStyle w:val="Compact"/>
              <w:jc w:val="left"/>
            </w:pPr>
            <w:r>
              <w:t xml:space="preserve">4 quarters</w:t>
            </w:r>
          </w:p>
        </w:tc>
        <w:tc>
          <w:tcPr/>
          <w:p>
            <w:pPr>
              <w:pStyle w:val="Compact"/>
              <w:jc w:val="left"/>
            </w:pPr>
            <w:r>
              <w:t xml:space="preserve">12,000,000</w:t>
            </w:r>
          </w:p>
        </w:tc>
        <w:tc>
          <w:tcPr/>
          <w:p>
            <w:pPr>
              <w:pStyle w:val="Compact"/>
              <w:jc w:val="left"/>
            </w:pPr>
            <w:r>
              <w:t xml:space="preserve">48,000,000</w:t>
            </w:r>
          </w:p>
        </w:tc>
      </w:tr>
      <w:tr>
        <w:tc>
          <w:tcPr/>
          <w:p>
            <w:pPr>
              <w:pStyle w:val="Compact"/>
              <w:jc w:val="left"/>
            </w:pPr>
            <w:r>
              <w:t xml:space="preserve">4</w:t>
            </w:r>
          </w:p>
        </w:tc>
        <w:tc>
          <w:tcPr/>
          <w:p>
            <w:pPr>
              <w:pStyle w:val="Compact"/>
              <w:jc w:val="left"/>
            </w:pPr>
            <w:r>
              <w:t xml:space="preserve">Annual Financial Statements Preparation (IFRS Compliant)</w:t>
            </w:r>
          </w:p>
        </w:tc>
        <w:tc>
          <w:tcPr/>
          <w:p>
            <w:pPr>
              <w:pStyle w:val="Compact"/>
              <w:jc w:val="left"/>
            </w:pPr>
            <w:r>
              <w:t xml:space="preserve">Annual</w:t>
            </w:r>
          </w:p>
        </w:tc>
        <w:tc>
          <w:tcPr/>
          <w:p>
            <w:pPr>
              <w:pStyle w:val="Compact"/>
              <w:jc w:val="left"/>
            </w:pPr>
            <w:r>
              <w:t xml:space="preserve">1 year</w:t>
            </w:r>
          </w:p>
        </w:tc>
        <w:tc>
          <w:tcPr/>
          <w:p>
            <w:pPr>
              <w:pStyle w:val="Compact"/>
              <w:jc w:val="left"/>
            </w:pPr>
            <w:r>
              <w:t xml:space="preserve">35,000,000</w:t>
            </w:r>
          </w:p>
        </w:tc>
        <w:tc>
          <w:tcPr/>
          <w:p>
            <w:pPr>
              <w:pStyle w:val="Compact"/>
              <w:jc w:val="left"/>
            </w:pPr>
            <w:r>
              <w:t xml:space="preserve">35,000,000</w:t>
            </w:r>
          </w:p>
        </w:tc>
      </w:tr>
      <w:tr>
        <w:tc>
          <w:tcPr/>
          <w:p>
            <w:pPr>
              <w:pStyle w:val="Compact"/>
              <w:jc w:val="left"/>
            </w:pPr>
            <w:r>
              <w:t xml:space="preserve">5</w:t>
            </w:r>
          </w:p>
        </w:tc>
        <w:tc>
          <w:tcPr/>
          <w:p>
            <w:pPr>
              <w:pStyle w:val="Compact"/>
              <w:jc w:val="left"/>
            </w:pPr>
            <w:r>
              <w:t xml:space="preserve">Annual Tax Return Filing (SPT Tahunan) – Jakarta Tax Office</w:t>
            </w:r>
          </w:p>
        </w:tc>
        <w:tc>
          <w:tcPr/>
          <w:p>
            <w:pPr>
              <w:pStyle w:val="Compact"/>
              <w:jc w:val="left"/>
            </w:pPr>
            <w:r>
              <w:t xml:space="preserve">Annual</w:t>
            </w:r>
          </w:p>
        </w:tc>
        <w:tc>
          <w:tcPr/>
          <w:p>
            <w:pPr>
              <w:pStyle w:val="Compact"/>
              <w:jc w:val="left"/>
            </w:pPr>
            <w:r>
              <w:t xml:space="preserve">1 year</w:t>
            </w:r>
          </w:p>
        </w:tc>
        <w:tc>
          <w:tcPr/>
          <w:p>
            <w:pPr>
              <w:pStyle w:val="Compact"/>
              <w:jc w:val="left"/>
            </w:pPr>
            <w:r>
              <w:t xml:space="preserve">8,000,000</w:t>
            </w:r>
          </w:p>
        </w:tc>
        <w:tc>
          <w:tcPr/>
          <w:p>
            <w:pPr>
              <w:pStyle w:val="Compact"/>
              <w:jc w:val="left"/>
            </w:pPr>
            <w:r>
              <w:t xml:space="preserve">8,000,000</w:t>
            </w:r>
          </w:p>
        </w:tc>
      </w:tr>
      <w:tr>
        <w:tc>
          <w:tcPr/>
          <w:p>
            <w:pPr>
              <w:pStyle w:val="Compact"/>
              <w:jc w:val="left"/>
            </w:pPr>
            <w:r>
              <w:t xml:space="preserve">6</w:t>
            </w:r>
          </w:p>
        </w:tc>
        <w:tc>
          <w:tcPr/>
          <w:p>
            <w:pPr>
              <w:pStyle w:val="Compact"/>
              <w:jc w:val="left"/>
            </w:pPr>
            <w:r>
              <w:t xml:space="preserve">Payroll Processing &amp; Employee Tax (PPh 21) – Up to 50 Staff</w:t>
            </w:r>
          </w:p>
        </w:tc>
        <w:tc>
          <w:tcPr/>
          <w:p>
            <w:pPr>
              <w:pStyle w:val="Compact"/>
              <w:jc w:val="left"/>
            </w:pPr>
            <w:r>
              <w:t xml:space="preserve">Monthly</w:t>
            </w:r>
          </w:p>
        </w:tc>
        <w:tc>
          <w:tcPr/>
          <w:p>
            <w:pPr>
              <w:pStyle w:val="Compact"/>
              <w:jc w:val="left"/>
            </w:pPr>
            <w:r>
              <w:t xml:space="preserve">12 months</w:t>
            </w:r>
          </w:p>
        </w:tc>
        <w:tc>
          <w:tcPr/>
          <w:p>
            <w:pPr>
              <w:pStyle w:val="Compact"/>
              <w:jc w:val="left"/>
            </w:pPr>
            <w:r>
              <w:t xml:space="preserve">6,500,000</w:t>
            </w:r>
          </w:p>
        </w:tc>
        <w:tc>
          <w:tcPr/>
          <w:p>
            <w:pPr>
              <w:pStyle w:val="Compact"/>
              <w:jc w:val="left"/>
            </w:pPr>
            <w:r>
              <w:t xml:space="preserve">78,000,000</w:t>
            </w:r>
          </w:p>
        </w:tc>
      </w:tr>
      <w:tr>
        <w:tc>
          <w:tcPr/>
          <w:p>
            <w:pPr>
              <w:pStyle w:val="Compact"/>
              <w:jc w:val="left"/>
            </w:pPr>
            <w:r>
              <w:t xml:space="preserve">7</w:t>
            </w:r>
          </w:p>
        </w:tc>
        <w:tc>
          <w:tcPr/>
          <w:p>
            <w:pPr>
              <w:pStyle w:val="Compact"/>
              <w:jc w:val="left"/>
            </w:pPr>
            <w:r>
              <w:t xml:space="preserve">Advisory &amp; Consultation (Accountant On-Site, Jakarta Office)</w:t>
            </w:r>
          </w:p>
        </w:tc>
        <w:tc>
          <w:tcPr/>
          <w:p>
            <w:pPr>
              <w:pStyle w:val="Compact"/>
              <w:jc w:val="left"/>
            </w:pPr>
            <w:r>
              <w:t xml:space="preserve">Bi-weekly</w:t>
            </w:r>
          </w:p>
        </w:tc>
        <w:tc>
          <w:tcPr/>
          <w:p>
            <w:pPr>
              <w:pStyle w:val="Compact"/>
              <w:jc w:val="left"/>
            </w:pPr>
            <w:r>
              <w:t xml:space="preserve">24 sessions</w:t>
            </w:r>
          </w:p>
        </w:tc>
        <w:tc>
          <w:tcPr/>
          <w:p>
            <w:pPr>
              <w:pStyle w:val="Compact"/>
              <w:jc w:val="left"/>
            </w:pPr>
            <w:r>
              <w:t xml:space="preserve">3,500,000</w:t>
            </w:r>
          </w:p>
        </w:tc>
        <w:tc>
          <w:tcPr/>
          <w:p>
            <w:pPr>
              <w:pStyle w:val="Compact"/>
              <w:jc w:val="left"/>
            </w:pPr>
            <w:r>
              <w:t xml:space="preserve">84,000,000</w:t>
            </w:r>
          </w:p>
        </w:tc>
      </w:tr>
      <w:tr>
        <w:tc>
          <w:tcPr/>
          <w:p>
            <w:pPr>
              <w:pStyle w:val="Compact"/>
              <w:jc w:val="left"/>
            </w:pPr>
            <w:r>
              <w:t xml:space="preserve">8</w:t>
            </w:r>
          </w:p>
        </w:tc>
        <w:tc>
          <w:tcPr/>
          <w:p>
            <w:pPr>
              <w:pStyle w:val="Compact"/>
              <w:jc w:val="left"/>
            </w:pPr>
            <w:r>
              <w:t xml:space="preserve">Bank Reconciliation &amp; Cash Flow Monitoring</w:t>
            </w:r>
          </w:p>
        </w:tc>
        <w:tc>
          <w:tcPr/>
          <w:p>
            <w:pPr>
              <w:pStyle w:val="Compact"/>
              <w:jc w:val="left"/>
            </w:pPr>
            <w:r>
              <w:t xml:space="preserve">Monthly</w:t>
            </w:r>
          </w:p>
        </w:tc>
        <w:tc>
          <w:tcPr/>
          <w:p>
            <w:pPr>
              <w:pStyle w:val="Compact"/>
              <w:jc w:val="left"/>
            </w:pPr>
            <w:r>
              <w:t xml:space="preserve">12 months</w:t>
            </w:r>
          </w:p>
        </w:tc>
        <w:tc>
          <w:tcPr/>
          <w:p>
            <w:pPr>
              <w:pStyle w:val="Compact"/>
              <w:jc w:val="left"/>
            </w:pPr>
            <w:r>
              <w:t xml:space="preserve">2,800,000</w:t>
            </w:r>
          </w:p>
        </w:tc>
        <w:tc>
          <w:tcPr/>
          <w:p>
            <w:pPr>
              <w:pStyle w:val="Compact"/>
              <w:jc w:val="left"/>
            </w:pPr>
            <w:r>
              <w:t xml:space="preserve">33,600,000</w:t>
            </w:r>
          </w:p>
        </w:tc>
      </w:tr>
      <w:tr>
        <w:tc>
          <w:tcPr/>
          <w:p>
            <w:pPr>
              <w:pStyle w:val="Compact"/>
              <w:jc w:val="left"/>
            </w:pPr>
            <w:r>
              <w:t xml:space="preserve">9</w:t>
            </w:r>
          </w:p>
        </w:tc>
        <w:tc>
          <w:tcPr/>
          <w:p>
            <w:pPr>
              <w:pStyle w:val="Compact"/>
              <w:jc w:val="left"/>
            </w:pPr>
            <w:r>
              <w:t xml:space="preserve">ERP / Accounting Software Setup &amp; Training (Jakarta-based)</w:t>
            </w:r>
          </w:p>
        </w:tc>
        <w:tc>
          <w:tcPr/>
          <w:p>
            <w:pPr>
              <w:pStyle w:val="Compact"/>
              <w:jc w:val="left"/>
            </w:pPr>
            <w:r>
              <w:t xml:space="preserve">One-time</w:t>
            </w:r>
          </w:p>
        </w:tc>
        <w:tc>
          <w:tcPr/>
          <w:p>
            <w:pPr>
              <w:pStyle w:val="Compact"/>
              <w:jc w:val="left"/>
            </w:pPr>
            <w:r>
              <w:t xml:space="preserve">1 project</w:t>
            </w:r>
          </w:p>
        </w:tc>
        <w:tc>
          <w:tcPr/>
          <w:p>
            <w:pPr>
              <w:pStyle w:val="Compact"/>
              <w:jc w:val="left"/>
            </w:pPr>
            <w:r>
              <w:t xml:space="preserve">25,000,000</w:t>
            </w:r>
          </w:p>
        </w:tc>
        <w:tc>
          <w:tcPr/>
          <w:p>
            <w:pPr>
              <w:pStyle w:val="Compact"/>
              <w:jc w:val="left"/>
            </w:pPr>
            <w:r>
              <w:t xml:space="preserve">25,000,000</w:t>
            </w:r>
          </w:p>
        </w:tc>
      </w:tr>
      <w:tr>
        <w:tc>
          <w:tcPr/>
          <w:p>
            <w:pPr>
              <w:pStyle w:val="Compact"/>
              <w:jc w:val="left"/>
            </w:pPr>
            <w:r>
              <w:t xml:space="preserve">10</w:t>
            </w:r>
          </w:p>
        </w:tc>
        <w:tc>
          <w:tcPr/>
          <w:p>
            <w:pPr>
              <w:pStyle w:val="Compact"/>
              <w:jc w:val="left"/>
            </w:pPr>
            <w:r>
              <w:t xml:space="preserve">Annual Audit Support &amp; Liaison with External Auditor</w:t>
            </w:r>
          </w:p>
        </w:tc>
        <w:tc>
          <w:tcPr/>
          <w:p>
            <w:pPr>
              <w:pStyle w:val="Compact"/>
              <w:jc w:val="left"/>
            </w:pPr>
            <w:r>
              <w:t xml:space="preserve">Annual</w:t>
            </w:r>
          </w:p>
        </w:tc>
        <w:tc>
          <w:tcPr/>
          <w:p>
            <w:pPr>
              <w:pStyle w:val="Compact"/>
              <w:jc w:val="left"/>
            </w:pPr>
            <w:r>
              <w:t xml:space="preserve">1 year</w:t>
            </w:r>
          </w:p>
        </w:tc>
        <w:tc>
          <w:tcPr/>
          <w:p>
            <w:pPr>
              <w:pStyle w:val="Compact"/>
              <w:jc w:val="left"/>
            </w:pPr>
            <w:r>
              <w:t xml:space="preserve">15,000,000</w:t>
            </w:r>
          </w:p>
        </w:tc>
        <w:tc>
          <w:tcPr/>
          <w:p>
            <w:pPr>
              <w:pStyle w:val="Compact"/>
              <w:jc w:val="left"/>
            </w:pPr>
            <w:r>
              <w:t xml:space="preserve">15,000,000</w:t>
            </w:r>
          </w:p>
        </w:tc>
      </w:tr>
      <w:tr>
        <w:tc>
          <w:tcPr>
            <w:gridSpan w:val="5"/>
          </w:tcPr>
          <w:p>
            <w:pPr>
              <w:pStyle w:val="Compact"/>
              <w:jc w:val="left"/>
            </w:pPr>
            <w:r>
              <w:t xml:space="preserve">TOTAL ANNUAL QUOTATION ESTIMATE (IDR)</w:t>
            </w:r>
          </w:p>
        </w:tc>
        <w:tc>
          <w:tcPr/>
          <w:p>
            <w:pPr>
              <w:pStyle w:val="Compact"/>
              <w:jc w:val="left"/>
            </w:pPr>
            <w:r>
              <w:t xml:space="preserve">479,000,000</w:t>
            </w:r>
          </w:p>
        </w:tc>
      </w:tr>
    </w:tbl>
    <w:p>
      <w:pPr>
        <w:pStyle w:val="BodyText"/>
      </w:pPr>
      <w:r>
        <w:rPr>
          <w:bCs/>
          <w:b/>
        </w:rPr>
        <w:t xml:space="preserve">Total in Words:</w:t>
      </w:r>
      <w:r>
        <w:t xml:space="preserve"> </w:t>
      </w:r>
      <w:r>
        <w:t xml:space="preserve">Four Hundred Seventy-Nine Million Rupiah Only (IDR 479,000,000)</w:t>
      </w:r>
    </w:p>
    <w:p>
      <w:pPr>
        <w:pStyle w:val="BodyText"/>
      </w:pPr>
      <w:r>
        <w:rPr>
          <w:bCs/>
          <w:b/>
        </w:rPr>
        <w:t xml:space="preserve">Applicable VAT (PPN 11%):</w:t>
      </w:r>
      <w:r>
        <w:t xml:space="preserve"> </w:t>
      </w:r>
      <w:r>
        <w:t xml:space="preserve">IDR 52,690,000</w:t>
      </w:r>
    </w:p>
    <w:p>
      <w:pPr>
        <w:pStyle w:val="BodyText"/>
      </w:pPr>
      <w:r>
        <w:rPr>
          <w:bCs/>
          <w:b/>
        </w:rPr>
        <w:t xml:space="preserve">Grand Total (Incl. PPN):</w:t>
      </w:r>
      <w:r>
        <w:t xml:space="preserve"> </w:t>
      </w:r>
      <w:r>
        <w:t xml:space="preserve">IDR 531,690,000</w:t>
      </w:r>
    </w:p>
    <w:p>
      <w:pPr>
        <w:pStyle w:val="BodyText"/>
      </w:pPr>
      <w:r>
        <w:t xml:space="preserve">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Any request for services beyond this period will require a revised</w:t>
      </w:r>
      <w:r>
        <w:t xml:space="preserve"> </w:t>
      </w:r>
      <w:r>
        <w:t xml:space="preserve">Quotation Estimate</w:t>
      </w:r>
      <w:r>
        <w:t xml:space="preserve"> </w:t>
      </w:r>
      <w:r>
        <w:t xml:space="preserve">reflecting current market rates in</w:t>
      </w:r>
      <w:r>
        <w:t xml:space="preserve"> </w:t>
      </w:r>
      <w:r>
        <w:t xml:space="preserve">Indonesia Jakarta</w:t>
      </w:r>
      <w:r>
        <w:t xml:space="preserve">.</w:t>
      </w:r>
    </w:p>
    <w:p>
      <w:pPr>
        <w:numPr>
          <w:ilvl w:val="0"/>
          <w:numId w:val="1001"/>
        </w:numPr>
        <w:pStyle w:val="Compact"/>
      </w:pPr>
      <w:r>
        <w:t xml:space="preserve">All</w:t>
      </w:r>
      <w:r>
        <w:t xml:space="preserve"> </w:t>
      </w:r>
      <w:r>
        <w:t xml:space="preserve">Accountant</w:t>
      </w:r>
      <w:r>
        <w:t xml:space="preserve"> </w:t>
      </w:r>
      <w:r>
        <w:t xml:space="preserve">services described herein will be performed by licensed and certified</w:t>
      </w:r>
      <w:r>
        <w:t xml:space="preserve"> </w:t>
      </w:r>
      <w:r>
        <w:t xml:space="preserve">Accountant</w:t>
      </w:r>
      <w:r>
        <w:t xml:space="preserve"> </w:t>
      </w:r>
      <w:r>
        <w:t xml:space="preserve">professionals (CPA Indonesia / Brevet A &amp; B holders) with a minimum of five years of experience in the Jakarta business environment.</w:t>
      </w:r>
    </w:p>
    <w:p>
      <w:pPr>
        <w:numPr>
          <w:ilvl w:val="0"/>
          <w:numId w:val="1001"/>
        </w:numPr>
        <w:pStyle w:val="Compact"/>
      </w:pPr>
      <w:r>
        <w:t xml:space="preserve">Payment terms: 50% advance payment upon contract signing, with the remaining 50% payable in two equal quarterly installments. All payments shall be made via bank transfer to our account at Bank Mandiri, Jakarta branch.</w:t>
      </w:r>
    </w:p>
    <w:p>
      <w:pPr>
        <w:numPr>
          <w:ilvl w:val="0"/>
          <w:numId w:val="1001"/>
        </w:numPr>
        <w:pStyle w:val="Compact"/>
      </w:pPr>
      <w:r>
        <w:t xml:space="preserve">The</w:t>
      </w:r>
      <w:r>
        <w:t xml:space="preserve"> </w:t>
      </w:r>
      <w:r>
        <w:t xml:space="preserve">Accountant</w:t>
      </w:r>
      <w:r>
        <w:t xml:space="preserve"> </w:t>
      </w:r>
      <w:r>
        <w:t xml:space="preserve">engagement is subject to a minimum twelve (12) month contract. Early termination requires a sixty (60) day written notice and settlement of all outstanding invoices.</w:t>
      </w:r>
    </w:p>
    <w:p>
      <w:pPr>
        <w:numPr>
          <w:ilvl w:val="0"/>
          <w:numId w:val="1001"/>
        </w:numPr>
        <w:pStyle w:val="Compact"/>
      </w:pPr>
      <w:r>
        <w:t xml:space="preserve">All financial data, tax filings, and confidential business information will be handled in strict accordance with Indonesia's Personal Data Protection Law (UU PDP No. 27/2022) and professional confidentiality standards.</w:t>
      </w:r>
    </w:p>
    <w:p>
      <w:pPr>
        <w:numPr>
          <w:ilvl w:val="0"/>
          <w:numId w:val="1001"/>
        </w:numPr>
        <w:pStyle w:val="Compact"/>
      </w:pPr>
      <w:r>
        <w:t xml:space="preserve">Our</w:t>
      </w:r>
      <w:r>
        <w:t xml:space="preserve"> </w:t>
      </w:r>
      <w:r>
        <w:t xml:space="preserve">Accountant</w:t>
      </w:r>
      <w:r>
        <w:t xml:space="preserve"> </w:t>
      </w:r>
      <w:r>
        <w:t xml:space="preserve">team will coordinate directly with the Jakarta Selatan Tax Office (KPP) and relevant local authorities in</w:t>
      </w:r>
      <w:r>
        <w:t xml:space="preserve"> </w:t>
      </w:r>
      <w:r>
        <w:t xml:space="preserve">Indonesia Jakarta</w:t>
      </w:r>
      <w:r>
        <w:t xml:space="preserve"> </w:t>
      </w:r>
      <w:r>
        <w:t xml:space="preserve">to ensure timely and accurate regulatory compliance.</w:t>
      </w:r>
    </w:p>
    <w:p>
      <w:pPr>
        <w:numPr>
          <w:ilvl w:val="0"/>
          <w:numId w:val="1001"/>
        </w:numPr>
        <w:pStyle w:val="Compact"/>
      </w:pPr>
      <w:r>
        <w:t xml:space="preserve">Any additional services beyond the scope outlined in this</w:t>
      </w:r>
      <w:r>
        <w:t xml:space="preserve"> </w:t>
      </w:r>
      <w:r>
        <w:t xml:space="preserve">Quotation Estimate</w:t>
      </w:r>
      <w:r>
        <w:t xml:space="preserve"> </w:t>
      </w:r>
      <w:r>
        <w:t xml:space="preserve">will be billed separately at the standard</w:t>
      </w:r>
      <w:r>
        <w:t xml:space="preserve"> </w:t>
      </w:r>
      <w:r>
        <w:t xml:space="preserve">Accountant</w:t>
      </w:r>
      <w:r>
        <w:t xml:space="preserve"> </w:t>
      </w:r>
      <w:r>
        <w:t xml:space="preserve">hourly rate of IDR 1,500,000 per hour, subject to prior written approval.</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both parties have signed the formal Service Agreement. The terms herein are indicative and subject to final negotiation.</w:t>
      </w:r>
    </w:p>
    <w:p>
      <w:pPr>
        <w:numPr>
          <w:ilvl w:val="0"/>
          <w:numId w:val="1001"/>
        </w:numPr>
        <w:pStyle w:val="Compact"/>
      </w:pPr>
      <w:r>
        <w:t xml:space="preserve">All deliverables, including monthly reports, tax filings, and annual statements, will be provided in both Indonesian (Bahasa Indonesia) and English to accommodate your international stakeholders.</w:t>
      </w:r>
    </w:p>
    <w:p>
      <w:pPr>
        <w:numPr>
          <w:ilvl w:val="0"/>
          <w:numId w:val="1001"/>
        </w:numPr>
        <w:pStyle w:val="Compact"/>
      </w:pPr>
      <w:r>
        <w:t xml:space="preserve">Force majeure events, including but not limited to natural disasters affecting the</w:t>
      </w:r>
      <w:r>
        <w:t xml:space="preserve"> </w:t>
      </w:r>
      <w:r>
        <w:t xml:space="preserve">Indonesia Jakarta</w:t>
      </w:r>
      <w:r>
        <w:t xml:space="preserve"> </w:t>
      </w:r>
      <w:r>
        <w:t xml:space="preserve">region, may result in temporary service adjustments without penalty to either party.</w:t>
      </w:r>
    </w:p>
    <w:p>
      <w:pPr>
        <w:pStyle w:val="FirstParagraph"/>
      </w:pPr>
      <w:r>
        <w:t xml:space="preserve">Acceptance and Authorization</w:t>
      </w:r>
    </w:p>
    <w:p>
      <w:pPr>
        <w:pStyle w:val="BodyText"/>
      </w:pPr>
      <w:r>
        <w:t xml:space="preserve">By signing below, both parties acknowledge and agree to the terms set forth in this</w:t>
      </w:r>
      <w:r>
        <w:t xml:space="preserve"> </w:t>
      </w:r>
      <w:r>
        <w:t xml:space="preserve">Quotation Estimate</w:t>
      </w:r>
      <w:r>
        <w:t xml:space="preserve"> </w:t>
      </w:r>
      <w:r>
        <w:t xml:space="preserve">for</w:t>
      </w:r>
      <w:r>
        <w:t xml:space="preserve"> </w:t>
      </w:r>
      <w:r>
        <w:t xml:space="preserve">Accountant</w:t>
      </w:r>
      <w:r>
        <w:t xml:space="preserve"> </w:t>
      </w:r>
      <w:r>
        <w:t xml:space="preserve">services to be rendered in</w:t>
      </w:r>
      <w:r>
        <w:t xml:space="preserve"> </w:t>
      </w:r>
      <w:r>
        <w:t xml:space="preserve">Indonesia Jakarta</w:t>
      </w:r>
      <w:r>
        <w:t xml:space="preserve">. This document serves as the formal basis for the subsequent Service Agreement.</w:t>
      </w:r>
    </w:p>
    <w:p>
      <w:pPr>
        <w:pStyle w:val="BodyText"/>
      </w:pPr>
      <w:r>
        <w:rPr>
          <w:bCs/>
          <w:b/>
        </w:rPr>
        <w:t xml:space="preserve">Prepared By (Service Provider)</w:t>
      </w:r>
    </w:p>
    <w:p>
      <w:pPr>
        <w:pStyle w:val="BodyText"/>
      </w:pPr>
      <w:r>
        <w:t xml:space="preserve">PT Nusantara Professional Services</w:t>
      </w:r>
    </w:p>
    <w:p>
      <w:pPr>
        <w:pStyle w:val="BodyText"/>
      </w:pPr>
      <w:r>
        <w:rPr>
          <w:bCs/>
          <w:b/>
        </w:rPr>
        <w:t xml:space="preserve">Hendra Wijaya, CPA</w:t>
      </w:r>
      <w:r>
        <w:br/>
      </w:r>
      <w:r>
        <w:t xml:space="preserve">Senior Accountant &amp; Engagement Lead</w:t>
      </w:r>
      <w:r>
        <w:br/>
      </w:r>
      <w:r>
        <w:t xml:space="preserve">Date: _______________</w:t>
      </w:r>
    </w:p>
    <w:p>
      <w:pPr>
        <w:pStyle w:val="BodyText"/>
      </w:pPr>
      <w:r>
        <w:rPr>
          <w:bCs/>
          <w:b/>
        </w:rPr>
        <w:t xml:space="preserve">Accepted By (Client)</w:t>
      </w:r>
    </w:p>
    <w:p>
      <w:pPr>
        <w:pStyle w:val="BodyText"/>
      </w:pPr>
      <w:r>
        <w:t xml:space="preserve">PT Maju Sejahtera Trading</w:t>
      </w:r>
    </w:p>
    <w:p>
      <w:pPr>
        <w:pStyle w:val="BodyText"/>
      </w:pPr>
      <w:r>
        <w:rPr>
          <w:bCs/>
          <w:b/>
        </w:rPr>
        <w:t xml:space="preserve">Ratna Dewi</w:t>
      </w:r>
      <w:r>
        <w:br/>
      </w:r>
      <w:r>
        <w:t xml:space="preserve">Finance Director</w:t>
      </w:r>
      <w:r>
        <w:br/>
      </w:r>
      <w:r>
        <w:t xml:space="preserve">Date: _______________</w:t>
      </w:r>
    </w:p>
    <w:p>
      <w:pPr>
        <w:pStyle w:val="BodyText"/>
      </w:pPr>
      <w:r>
        <w:t xml:space="preserve">PT Nusantara Professional Services | Jl. Jend. Sudirman Kav. 52-53, Jakarta Selatan 12190, Indonesia</w:t>
      </w:r>
    </w:p>
    <w:p>
      <w:pPr>
        <w:pStyle w:val="BodyText"/>
      </w:pPr>
      <w:r>
        <w:t xml:space="preserve">This Quotation Estimate was generated on 15 June 2025 | Document Ref: QTE/JKT/2025/00472</w:t>
      </w:r>
    </w:p>
    <w:p>
      <w:pPr>
        <w:pStyle w:val="BodyText"/>
      </w:pPr>
      <w:r>
        <w:t xml:space="preserve">For inquiries regarding this Accountant service quotation in Indonesia Jakarta, please contact quotation@nusantaraservices.co.id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Accountant Services - Indonesia Jakarta</dc:title>
  <dc:creator/>
  <dc:language>en</dc:language>
  <cp:keywords/>
  <dcterms:created xsi:type="dcterms:W3CDTF">2026-10-10T08:37:45Z</dcterms:created>
  <dcterms:modified xsi:type="dcterms:W3CDTF">2026-10-10T08:37:45Z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