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Accountant Services — Iran Tehran</w:t>
      </w:r>
    </w:p>
    <w:p>
      <w:pPr>
        <w:pStyle w:val="BodyText"/>
      </w:pPr>
      <w:r>
        <w:t xml:space="preserve">Quotation Estimate</w:t>
      </w:r>
      <w:r>
        <w:t xml:space="preserve"> </w:t>
      </w:r>
      <w:r>
        <w:t xml:space="preserve">Accountant</w:t>
      </w:r>
      <w:r>
        <w:t xml:space="preserve"> </w:t>
      </w:r>
      <w:r>
        <w:t xml:space="preserve">Iran Tehran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QTE-IRN-TEH-2025-0472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Prepared By:</w:t>
            </w:r>
          </w:p>
        </w:tc>
        <w:tc>
          <w:tcPr/>
          <w:p>
            <w:pPr>
              <w:pStyle w:val="Compact"/>
              <w:jc w:val="left"/>
            </w:pPr>
            <w:r>
              <w:t xml:space="preserve">Mr. Amir Hosseini, Senior Accountant &amp; Financial Consultant</w:t>
            </w:r>
          </w:p>
        </w:tc>
      </w:tr>
      <w:tr>
        <w:tc>
          <w:tcPr/>
          <w:p>
            <w:pPr>
              <w:pStyle w:val="Compact"/>
              <w:jc w:val="left"/>
            </w:pPr>
            <w:r>
              <w:t xml:space="preserve">Firm:</w:t>
            </w:r>
          </w:p>
        </w:tc>
        <w:tc>
          <w:tcPr/>
          <w:p>
            <w:pPr>
              <w:pStyle w:val="Compact"/>
              <w:jc w:val="left"/>
            </w:pPr>
            <w:r>
              <w:t xml:space="preserve">Tehran Financial Advisory Group, Valiasr Street, Tehran, Iran</w:t>
            </w:r>
          </w:p>
        </w:tc>
      </w:tr>
      <w:tr>
        <w:tc>
          <w:tcPr/>
          <w:p>
            <w:pPr>
              <w:pStyle w:val="Compact"/>
              <w:jc w:val="left"/>
            </w:pPr>
            <w:r>
              <w:t xml:space="preserve">Client:</w:t>
            </w:r>
          </w:p>
        </w:tc>
        <w:tc>
          <w:tcPr/>
          <w:p>
            <w:pPr>
              <w:pStyle w:val="Compact"/>
              <w:jc w:val="left"/>
            </w:pPr>
            <w:r>
              <w:t xml:space="preserve">[Client Company Name], [Address], Tehran, Iran</w:t>
            </w:r>
          </w:p>
        </w:tc>
      </w:tr>
      <w:tr>
        <w:tc>
          <w:tcPr/>
          <w:p>
            <w:pPr>
              <w:pStyle w:val="Compact"/>
              <w:jc w:val="left"/>
            </w:pPr>
            <w:r>
              <w:t xml:space="preserve">Service Location:</w:t>
            </w:r>
          </w:p>
        </w:tc>
        <w:tc>
          <w:tcPr/>
          <w:p>
            <w:pPr>
              <w:pStyle w:val="Compact"/>
              <w:jc w:val="left"/>
            </w:pPr>
            <w:r>
              <w:t xml:space="preserve">Iran Tehran — All operations conducted within the Tehran metropolitan area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specifically to outline the professional Accountant services that will be rendered to the client within the jurisdiction of Iran Tehran. The scope of this document encompasses all financial accounting, tax compliance, bookkeeping, and advisory services that a qualified Accountant will deliver in accordance with the Iranian Accounting Standards (IAS) and the regulations set forth by the Iranian National Organization for Standardization (NOSI) and the Iranian Tax Administration. This Quotation Estimate serves as a formal, binding proposal for the financial engagement between the Accountant firm and the client, and it is valid exclusively for operations conducted in Iran Tehran.</w:t>
      </w:r>
    </w:p>
    <w:bookmarkEnd w:id="21"/>
    <w:bookmarkStart w:id="22" w:name="X512a481a75bd09bced6cee6478c03c13791ea67"/>
    <w:p>
      <w:pPr>
        <w:pStyle w:val="Heading2"/>
      </w:pPr>
      <w:r>
        <w:t xml:space="preserve">2. Detailed Breakdown of Accountant Services</w:t>
      </w:r>
    </w:p>
    <w:p>
      <w:pPr>
        <w:pStyle w:val="FirstParagraph"/>
      </w:pPr>
      <w:r>
        <w:t xml:space="preserve">The following table presents the itemized Quotation Estimate for each Accountant service line. All rates are quoted in Iranian Rials (IRR) and reflect the current market standards for professional Accountant engagements in Iran Tehran.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Accountant Service Description</w:t>
            </w:r>
          </w:p>
        </w:tc>
        <w:tc>
          <w:tcPr/>
          <w:p>
            <w:pPr>
              <w:pStyle w:val="Compact"/>
              <w:jc w:val="left"/>
            </w:pPr>
            <w:r>
              <w:t xml:space="preserve">Frequency</w:t>
            </w:r>
          </w:p>
        </w:tc>
        <w:tc>
          <w:tcPr/>
          <w:p>
            <w:pPr>
              <w:pStyle w:val="Compact"/>
              <w:jc w:val="left"/>
            </w:pPr>
            <w:r>
              <w:t xml:space="preserve">Unit Rate (IRR)</w:t>
            </w:r>
          </w:p>
        </w:tc>
        <w:tc>
          <w:tcPr/>
          <w:p>
            <w:pPr>
              <w:pStyle w:val="Compact"/>
              <w:jc w:val="left"/>
            </w:pPr>
            <w:r>
              <w:t xml:space="preserve">Quantity</w:t>
            </w:r>
          </w:p>
        </w:tc>
        <w:tc>
          <w:tcPr/>
          <w:p>
            <w:pPr>
              <w:pStyle w:val="Compact"/>
              <w:jc w:val="left"/>
            </w:pPr>
            <w:r>
              <w:t xml:space="preserve">Subtotal (IRR)</w:t>
            </w:r>
          </w:p>
        </w:tc>
      </w:tr>
      <w:tr>
        <w:tc>
          <w:tcPr/>
          <w:p>
            <w:pPr>
              <w:pStyle w:val="Compact"/>
              <w:jc w:val="left"/>
            </w:pPr>
            <w:r>
              <w:t xml:space="preserve">01</w:t>
            </w:r>
          </w:p>
        </w:tc>
        <w:tc>
          <w:tcPr/>
          <w:p>
            <w:pPr>
              <w:pStyle w:val="Compact"/>
              <w:jc w:val="left"/>
            </w:pPr>
            <w:r>
              <w:t xml:space="preserve">Monthly General Ledger Maintenance &amp; Reconciliation (Accountant)</w:t>
            </w:r>
          </w:p>
        </w:tc>
        <w:tc>
          <w:tcPr/>
          <w:p>
            <w:pPr>
              <w:pStyle w:val="Compact"/>
              <w:jc w:val="left"/>
            </w:pPr>
            <w:r>
              <w:t xml:space="preserve">Monthly</w:t>
            </w:r>
          </w:p>
        </w:tc>
        <w:tc>
          <w:tcPr/>
          <w:p>
            <w:pPr>
              <w:pStyle w:val="Compact"/>
              <w:jc w:val="left"/>
            </w:pPr>
            <w:r>
              <w:t xml:space="preserve">18,000,000</w:t>
            </w:r>
          </w:p>
        </w:tc>
        <w:tc>
          <w:tcPr/>
          <w:p>
            <w:pPr>
              <w:pStyle w:val="Compact"/>
              <w:jc w:val="left"/>
            </w:pPr>
            <w:r>
              <w:t xml:space="preserve">12</w:t>
            </w:r>
          </w:p>
        </w:tc>
        <w:tc>
          <w:tcPr/>
          <w:p>
            <w:pPr>
              <w:pStyle w:val="Compact"/>
              <w:jc w:val="left"/>
            </w:pPr>
            <w:r>
              <w:t xml:space="preserve">216,000,000</w:t>
            </w:r>
          </w:p>
        </w:tc>
      </w:tr>
      <w:tr>
        <w:tc>
          <w:tcPr/>
          <w:p>
            <w:pPr>
              <w:pStyle w:val="Compact"/>
              <w:jc w:val="left"/>
            </w:pPr>
            <w:r>
              <w:t xml:space="preserve">02</w:t>
            </w:r>
          </w:p>
        </w:tc>
        <w:tc>
          <w:tcPr/>
          <w:p>
            <w:pPr>
              <w:pStyle w:val="Compact"/>
              <w:jc w:val="left"/>
            </w:pPr>
            <w:r>
              <w:t xml:space="preserve">Preparation of Quarterly Financial Statements per Iranian GAAP</w:t>
            </w:r>
          </w:p>
        </w:tc>
        <w:tc>
          <w:tcPr/>
          <w:p>
            <w:pPr>
              <w:pStyle w:val="Compact"/>
              <w:jc w:val="left"/>
            </w:pPr>
            <w:r>
              <w:t xml:space="preserve">Quarterly</w:t>
            </w:r>
          </w:p>
        </w:tc>
        <w:tc>
          <w:tcPr/>
          <w:p>
            <w:pPr>
              <w:pStyle w:val="Compact"/>
              <w:jc w:val="left"/>
            </w:pPr>
            <w:r>
              <w:t xml:space="preserve">25,000,000</w:t>
            </w:r>
          </w:p>
        </w:tc>
        <w:tc>
          <w:tcPr/>
          <w:p>
            <w:pPr>
              <w:pStyle w:val="Compact"/>
              <w:jc w:val="left"/>
            </w:pPr>
            <w:r>
              <w:t xml:space="preserve">4</w:t>
            </w:r>
          </w:p>
        </w:tc>
        <w:tc>
          <w:tcPr/>
          <w:p>
            <w:pPr>
              <w:pStyle w:val="Compact"/>
              <w:jc w:val="left"/>
            </w:pPr>
            <w:r>
              <w:t xml:space="preserve">100,000,000</w:t>
            </w:r>
          </w:p>
        </w:tc>
      </w:tr>
      <w:tr>
        <w:tc>
          <w:tcPr/>
          <w:p>
            <w:pPr>
              <w:pStyle w:val="Compact"/>
              <w:jc w:val="left"/>
            </w:pPr>
            <w:r>
              <w:t xml:space="preserve">03</w:t>
            </w:r>
          </w:p>
        </w:tc>
        <w:tc>
          <w:tcPr/>
          <w:p>
            <w:pPr>
              <w:pStyle w:val="Compact"/>
              <w:jc w:val="left"/>
            </w:pPr>
            <w:r>
              <w:t xml:space="preserve">Annual Tax Filing &amp; VAT Compliance (Iran Tehran Tax Authority)</w:t>
            </w:r>
          </w:p>
        </w:tc>
        <w:tc>
          <w:tcPr/>
          <w:p>
            <w:pPr>
              <w:pStyle w:val="Compact"/>
              <w:jc w:val="left"/>
            </w:pPr>
            <w:r>
              <w:t xml:space="preserve">Annual</w:t>
            </w:r>
          </w:p>
        </w:tc>
        <w:tc>
          <w:tcPr/>
          <w:p>
            <w:pPr>
              <w:pStyle w:val="Compact"/>
              <w:jc w:val="left"/>
            </w:pPr>
            <w:r>
              <w:t xml:space="preserve">45,000,000</w:t>
            </w:r>
          </w:p>
        </w:tc>
        <w:tc>
          <w:tcPr/>
          <w:p>
            <w:pPr>
              <w:pStyle w:val="Compact"/>
              <w:jc w:val="left"/>
            </w:pPr>
            <w:r>
              <w:t xml:space="preserve">1</w:t>
            </w:r>
          </w:p>
        </w:tc>
        <w:tc>
          <w:tcPr/>
          <w:p>
            <w:pPr>
              <w:pStyle w:val="Compact"/>
              <w:jc w:val="left"/>
            </w:pPr>
            <w:r>
              <w:t xml:space="preserve">45,000,000</w:t>
            </w:r>
          </w:p>
        </w:tc>
      </w:tr>
      <w:tr>
        <w:tc>
          <w:tcPr/>
          <w:p>
            <w:pPr>
              <w:pStyle w:val="Compact"/>
              <w:jc w:val="left"/>
            </w:pPr>
            <w:r>
              <w:t xml:space="preserve">04</w:t>
            </w:r>
          </w:p>
        </w:tc>
        <w:tc>
          <w:tcPr/>
          <w:p>
            <w:pPr>
              <w:pStyle w:val="Compact"/>
              <w:jc w:val="left"/>
            </w:pPr>
            <w:r>
              <w:t xml:space="preserve">Payroll Processing &amp; Social Security (Tamin-e Ejtemaei) Filing</w:t>
            </w:r>
          </w:p>
        </w:tc>
        <w:tc>
          <w:tcPr/>
          <w:p>
            <w:pPr>
              <w:pStyle w:val="Compact"/>
              <w:jc w:val="left"/>
            </w:pPr>
            <w:r>
              <w:t xml:space="preserve">Monthly</w:t>
            </w:r>
          </w:p>
        </w:tc>
        <w:tc>
          <w:tcPr/>
          <w:p>
            <w:pPr>
              <w:pStyle w:val="Compact"/>
              <w:jc w:val="left"/>
            </w:pPr>
            <w:r>
              <w:t xml:space="preserve">12,000,000</w:t>
            </w:r>
          </w:p>
        </w:tc>
        <w:tc>
          <w:tcPr/>
          <w:p>
            <w:pPr>
              <w:pStyle w:val="Compact"/>
              <w:jc w:val="left"/>
            </w:pPr>
            <w:r>
              <w:t xml:space="preserve">12</w:t>
            </w:r>
          </w:p>
        </w:tc>
        <w:tc>
          <w:tcPr/>
          <w:p>
            <w:pPr>
              <w:pStyle w:val="Compact"/>
              <w:jc w:val="left"/>
            </w:pPr>
            <w:r>
              <w:t xml:space="preserve">144,000,000</w:t>
            </w:r>
          </w:p>
        </w:tc>
      </w:tr>
      <w:tr>
        <w:tc>
          <w:tcPr/>
          <w:p>
            <w:pPr>
              <w:pStyle w:val="Compact"/>
              <w:jc w:val="left"/>
            </w:pPr>
            <w:r>
              <w:t xml:space="preserve">05</w:t>
            </w:r>
          </w:p>
        </w:tc>
        <w:tc>
          <w:tcPr/>
          <w:p>
            <w:pPr>
              <w:pStyle w:val="Compact"/>
              <w:jc w:val="left"/>
            </w:pPr>
            <w:r>
              <w:t xml:space="preserve">Accounts Payable &amp; Receivable Management (Accountant)</w:t>
            </w:r>
          </w:p>
        </w:tc>
        <w:tc>
          <w:tcPr/>
          <w:p>
            <w:pPr>
              <w:pStyle w:val="Compact"/>
              <w:jc w:val="left"/>
            </w:pPr>
            <w:r>
              <w:t xml:space="preserve">Monthly</w:t>
            </w:r>
          </w:p>
        </w:tc>
        <w:tc>
          <w:tcPr/>
          <w:p>
            <w:pPr>
              <w:pStyle w:val="Compact"/>
              <w:jc w:val="left"/>
            </w:pPr>
            <w:r>
              <w:t xml:space="preserve">15,000,000</w:t>
            </w:r>
          </w:p>
        </w:tc>
        <w:tc>
          <w:tcPr/>
          <w:p>
            <w:pPr>
              <w:pStyle w:val="Compact"/>
              <w:jc w:val="left"/>
            </w:pPr>
            <w:r>
              <w:t xml:space="preserve">12</w:t>
            </w:r>
          </w:p>
        </w:tc>
        <w:tc>
          <w:tcPr/>
          <w:p>
            <w:pPr>
              <w:pStyle w:val="Compact"/>
              <w:jc w:val="left"/>
            </w:pPr>
            <w:r>
              <w:t xml:space="preserve">180,000,000</w:t>
            </w:r>
          </w:p>
        </w:tc>
      </w:tr>
      <w:tr>
        <w:tc>
          <w:tcPr/>
          <w:p>
            <w:pPr>
              <w:pStyle w:val="Compact"/>
              <w:jc w:val="left"/>
            </w:pPr>
            <w:r>
              <w:t xml:space="preserve">06</w:t>
            </w:r>
          </w:p>
        </w:tc>
        <w:tc>
          <w:tcPr/>
          <w:p>
            <w:pPr>
              <w:pStyle w:val="Compact"/>
              <w:jc w:val="left"/>
            </w:pPr>
            <w:r>
              <w:t xml:space="preserve">Financial Advisory &amp; Budget Planning Consultation</w:t>
            </w:r>
          </w:p>
        </w:tc>
        <w:tc>
          <w:tcPr/>
          <w:p>
            <w:pPr>
              <w:pStyle w:val="Compact"/>
              <w:jc w:val="left"/>
            </w:pPr>
            <w:r>
              <w:t xml:space="preserve">Quarterly</w:t>
            </w:r>
          </w:p>
        </w:tc>
        <w:tc>
          <w:tcPr/>
          <w:p>
            <w:pPr>
              <w:pStyle w:val="Compact"/>
              <w:jc w:val="left"/>
            </w:pPr>
            <w:r>
              <w:t xml:space="preserve">30,000,000</w:t>
            </w:r>
          </w:p>
        </w:tc>
        <w:tc>
          <w:tcPr/>
          <w:p>
            <w:pPr>
              <w:pStyle w:val="Compact"/>
              <w:jc w:val="left"/>
            </w:pPr>
            <w:r>
              <w:t xml:space="preserve">4</w:t>
            </w:r>
          </w:p>
        </w:tc>
        <w:tc>
          <w:tcPr/>
          <w:p>
            <w:pPr>
              <w:pStyle w:val="Compact"/>
              <w:jc w:val="left"/>
            </w:pPr>
            <w:r>
              <w:t xml:space="preserve">120,000,000</w:t>
            </w:r>
          </w:p>
        </w:tc>
      </w:tr>
      <w:tr>
        <w:tc>
          <w:tcPr/>
          <w:p>
            <w:pPr>
              <w:pStyle w:val="Compact"/>
              <w:jc w:val="left"/>
            </w:pPr>
            <w:r>
              <w:t xml:space="preserve">07</w:t>
            </w:r>
          </w:p>
        </w:tc>
        <w:tc>
          <w:tcPr/>
          <w:p>
            <w:pPr>
              <w:pStyle w:val="Compact"/>
              <w:jc w:val="left"/>
            </w:pPr>
            <w:r>
              <w:t xml:space="preserve">Bank Reconciliation &amp; Cash Flow Monitoring (Iran Tehran Banks)</w:t>
            </w:r>
          </w:p>
        </w:tc>
        <w:tc>
          <w:tcPr/>
          <w:p>
            <w:pPr>
              <w:pStyle w:val="Compact"/>
              <w:jc w:val="left"/>
            </w:pPr>
            <w:r>
              <w:t xml:space="preserve">Monthly</w:t>
            </w:r>
          </w:p>
        </w:tc>
        <w:tc>
          <w:tcPr/>
          <w:p>
            <w:pPr>
              <w:pStyle w:val="Compact"/>
              <w:jc w:val="left"/>
            </w:pPr>
            <w:r>
              <w:t xml:space="preserve">10,000,000</w:t>
            </w:r>
          </w:p>
        </w:tc>
        <w:tc>
          <w:tcPr/>
          <w:p>
            <w:pPr>
              <w:pStyle w:val="Compact"/>
              <w:jc w:val="left"/>
            </w:pPr>
            <w:r>
              <w:t xml:space="preserve">12</w:t>
            </w:r>
          </w:p>
        </w:tc>
        <w:tc>
          <w:tcPr/>
          <w:p>
            <w:pPr>
              <w:pStyle w:val="Compact"/>
              <w:jc w:val="left"/>
            </w:pPr>
            <w:r>
              <w:t xml:space="preserve">120,000,000</w:t>
            </w:r>
          </w:p>
        </w:tc>
      </w:tr>
      <w:tr>
        <w:tc>
          <w:tcPr/>
          <w:p>
            <w:pPr>
              <w:pStyle w:val="Compact"/>
              <w:jc w:val="left"/>
            </w:pPr>
            <w:r>
              <w:t xml:space="preserve">08</w:t>
            </w:r>
          </w:p>
        </w:tc>
        <w:tc>
          <w:tcPr/>
          <w:p>
            <w:pPr>
              <w:pStyle w:val="Compact"/>
              <w:jc w:val="left"/>
            </w:pPr>
            <w:r>
              <w:t xml:space="preserve">Annual Audit Support &amp; Documentation Preparation</w:t>
            </w:r>
          </w:p>
        </w:tc>
        <w:tc>
          <w:tcPr/>
          <w:p>
            <w:pPr>
              <w:pStyle w:val="Compact"/>
              <w:jc w:val="left"/>
            </w:pPr>
            <w:r>
              <w:t xml:space="preserve">Annual</w:t>
            </w:r>
          </w:p>
        </w:tc>
        <w:tc>
          <w:tcPr/>
          <w:p>
            <w:pPr>
              <w:pStyle w:val="Compact"/>
              <w:jc w:val="left"/>
            </w:pPr>
            <w:r>
              <w:t xml:space="preserve">55,000,000</w:t>
            </w:r>
          </w:p>
        </w:tc>
        <w:tc>
          <w:tcPr/>
          <w:p>
            <w:pPr>
              <w:pStyle w:val="Compact"/>
              <w:jc w:val="left"/>
            </w:pPr>
            <w:r>
              <w:t xml:space="preserve">1</w:t>
            </w:r>
          </w:p>
        </w:tc>
        <w:tc>
          <w:tcPr/>
          <w:p>
            <w:pPr>
              <w:pStyle w:val="Compact"/>
              <w:jc w:val="left"/>
            </w:pPr>
            <w:r>
              <w:t xml:space="preserve">55,000,000</w:t>
            </w:r>
          </w:p>
        </w:tc>
      </w:tr>
      <w:tr>
        <w:tc>
          <w:tcPr>
            <w:gridSpan w:val="5"/>
          </w:tcPr>
          <w:p>
            <w:pPr>
              <w:pStyle w:val="Compact"/>
              <w:jc w:val="left"/>
            </w:pPr>
            <w:r>
              <w:t xml:space="preserve">TOTAL ANNUAL QUOTATION ESTIMATE</w:t>
            </w:r>
          </w:p>
        </w:tc>
        <w:tc>
          <w:tcPr/>
          <w:p>
            <w:pPr>
              <w:pStyle w:val="Compact"/>
              <w:jc w:val="left"/>
            </w:pPr>
            <w:r>
              <w:t xml:space="preserve">980,000,000 IRR</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 Quotation Estimate is valid for a period of thirty (30) days from the date of issue. Beyond this period, the Accountant firm reserves the right to revise the rates due to inflation adjustments or changes in regulatory requirements within Iran Tehran.</w:t>
      </w:r>
    </w:p>
    <w:p>
      <w:pPr>
        <w:pStyle w:val="BodyText"/>
      </w:pPr>
      <w:r>
        <w:rPr>
          <w:bCs/>
          <w:b/>
        </w:rPr>
        <w:t xml:space="preserve">3.2</w:t>
      </w:r>
      <w:r>
        <w:t xml:space="preserve"> </w:t>
      </w:r>
      <w:r>
        <w:t xml:space="preserve">Payment terms: 50% of the total Quotation Estimate amount shall be due upon contract signing, and the remaining 50% shall be payable in equal monthly installments over the twelve-month engagement period.</w:t>
      </w:r>
    </w:p>
    <w:p>
      <w:pPr>
        <w:pStyle w:val="BodyText"/>
      </w:pPr>
      <w:r>
        <w:rPr>
          <w:bCs/>
          <w:b/>
        </w:rPr>
        <w:t xml:space="preserve">3.3</w:t>
      </w:r>
      <w:r>
        <w:t xml:space="preserve"> </w:t>
      </w:r>
      <w:r>
        <w:t xml:space="preserve">All Accountant services shall be performed in compliance with the Iranian Commercial Code, the Iranian Tax Law, and the regulations of the Tehran Chamber of Commerce, Industry, Mines, and Agriculture.</w:t>
      </w:r>
    </w:p>
    <w:p>
      <w:pPr>
        <w:pStyle w:val="BodyText"/>
      </w:pPr>
      <w:r>
        <w:rPr>
          <w:bCs/>
          <w:b/>
        </w:rPr>
        <w:t xml:space="preserve">3.4</w:t>
      </w:r>
      <w:r>
        <w:t xml:space="preserve"> </w:t>
      </w:r>
      <w:r>
        <w:t xml:space="preserve">The Accountant shall maintain strict confidentiality of all financial data, records, and proprietary information of the client in accordance with Iranian data protection regulations.</w:t>
      </w:r>
    </w:p>
    <w:p>
      <w:pPr>
        <w:pStyle w:val="BodyText"/>
      </w:pPr>
      <w:r>
        <w:rPr>
          <w:bCs/>
          <w:b/>
        </w:rPr>
        <w:t xml:space="preserve">3.5</w:t>
      </w:r>
      <w:r>
        <w:t xml:space="preserve"> </w:t>
      </w:r>
      <w:r>
        <w:t xml:space="preserve">Any additional services beyond the scope defined in this Quotation Estimate shall be subject to a separate written amendment and additional Quotation Estimate.</w:t>
      </w:r>
    </w:p>
    <w:p>
      <w:pPr>
        <w:pStyle w:val="BodyText"/>
      </w:pPr>
      <w:r>
        <w:rPr>
          <w:bCs/>
          <w:b/>
        </w:rPr>
        <w:t xml:space="preserve">3.6</w:t>
      </w:r>
      <w:r>
        <w:t xml:space="preserve"> </w:t>
      </w:r>
      <w:r>
        <w:t xml:space="preserve">All work shall be conducted at the client's premises in Iran Tehran or at the Accountant firm's office located on Valiasr Street, Tehran, as mutually agreed upon.</w:t>
      </w:r>
    </w:p>
    <w:bookmarkEnd w:id="23"/>
    <w:bookmarkStart w:id="24" w:name="Xb4ad02beb992c303a67092539a26ea6737a52de"/>
    <w:p>
      <w:pPr>
        <w:pStyle w:val="Heading2"/>
      </w:pPr>
      <w:r>
        <w:t xml:space="preserve">4. Important Notes Regarding Iran Tehran Operations</w:t>
      </w:r>
    </w:p>
    <w:p>
      <w:pPr>
        <w:pStyle w:val="FirstParagraph"/>
      </w:pPr>
      <w:r>
        <w:rPr>
          <w:bCs/>
          <w:b/>
        </w:rPr>
        <w:t xml:space="preserve">Note 1:</w:t>
      </w:r>
      <w:r>
        <w:t xml:space="preserve"> </w:t>
      </w:r>
      <w:r>
        <w:t xml:space="preserve">All tax filings and regulatory submissions referenced in this Quotation Estimate are directed to the relevant authorities in Iran Tehran, including the Tehran Regional Tax Administration and the Tehran branch of the Social Security Organization.</w:t>
      </w:r>
    </w:p>
    <w:p>
      <w:pPr>
        <w:pStyle w:val="BodyText"/>
      </w:pPr>
      <w:r>
        <w:rPr>
          <w:bCs/>
          <w:b/>
        </w:rPr>
        <w:t xml:space="preserve">Note 2:</w:t>
      </w:r>
      <w:r>
        <w:t xml:space="preserve"> </w:t>
      </w:r>
      <w:r>
        <w:t xml:space="preserve">The Accountant assigned to this engagement holds a valid license from the Iranian Institute of Certified Public Accountants (IICPA) and is registered with the Tehran branch of the Institute.</w:t>
      </w:r>
    </w:p>
    <w:p>
      <w:pPr>
        <w:pStyle w:val="BodyText"/>
      </w:pPr>
      <w:r>
        <w:rPr>
          <w:bCs/>
          <w:b/>
        </w:rPr>
        <w:t xml:space="preserve">Note 3:</w:t>
      </w:r>
      <w:r>
        <w:t xml:space="preserve"> </w:t>
      </w:r>
      <w:r>
        <w:t xml:space="preserve">Due to the dynamic nature of Iranian fiscal policy, the Accountant will provide quarterly updates on any legislative changes affecting the client's tax obligations within Iran Tehran.</w:t>
      </w:r>
    </w:p>
    <w:p>
      <w:pPr>
        <w:pStyle w:val="BodyText"/>
      </w:pPr>
      <w:r>
        <w:rPr>
          <w:bCs/>
          <w:b/>
        </w:rPr>
        <w:t xml:space="preserve">Note 4:</w:t>
      </w:r>
      <w:r>
        <w:t xml:space="preserve"> </w:t>
      </w:r>
      <w:r>
        <w:t xml:space="preserve">This Quotation Estimate does not include costs for external audit fees, legal counsel, or translation services, which shall be quoted separately if required.</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 Quotation Estimate for Accountant services in Iran Tehran has been reviewed, understood, and accepted in its entirety. This document constitutes a formal agreement for the provision of professional accounting services as described herein.</w:t>
      </w:r>
    </w:p>
    <w:p>
      <w:pPr>
        <w:pStyle w:val="BodyText"/>
      </w:pPr>
      <w:r>
        <w:rPr>
          <w:bCs/>
          <w:b/>
        </w:rPr>
        <w:t xml:space="preserve">For the Accountant Firm:</w:t>
      </w:r>
    </w:p>
    <w:p>
      <w:pPr>
        <w:pStyle w:val="BodyText"/>
      </w:pPr>
      <w:r>
        <w:t xml:space="preserve">Tehran Financial Advisory Group</w:t>
      </w:r>
    </w:p>
    <w:p>
      <w:pPr>
        <w:pStyle w:val="BodyText"/>
      </w:pPr>
      <w:r>
        <w:t xml:space="preserve">Mr. Amir Hosseini</w:t>
      </w:r>
      <w:r>
        <w:br/>
      </w:r>
      <w:r>
        <w:t xml:space="preserve">Senior Accountant &amp; Financial Consultant</w:t>
      </w:r>
      <w:r>
        <w:br/>
      </w:r>
      <w:r>
        <w:t xml:space="preserve">Date: _______________</w:t>
      </w:r>
    </w:p>
    <w:p>
      <w:pPr>
        <w:pStyle w:val="BodyText"/>
      </w:pPr>
      <w:r>
        <w:rPr>
          <w:bCs/>
          <w:b/>
        </w:rPr>
        <w:t xml:space="preserve">For the Client:</w:t>
      </w:r>
    </w:p>
    <w:p>
      <w:pPr>
        <w:pStyle w:val="BodyText"/>
      </w:pPr>
      <w:r>
        <w:t xml:space="preserve">[Client Company Name]</w:t>
      </w:r>
    </w:p>
    <w:p>
      <w:pPr>
        <w:pStyle w:val="BodyText"/>
      </w:pPr>
      <w:r>
        <w:t xml:space="preserve">Authorized Signatory</w:t>
      </w:r>
      <w:r>
        <w:br/>
      </w:r>
      <w:r>
        <w:t xml:space="preserve">Name: _______________</w:t>
      </w:r>
      <w:r>
        <w:br/>
      </w:r>
      <w:r>
        <w:t xml:space="preserve">Date: _______________</w:t>
      </w:r>
    </w:p>
    <w:p>
      <w:pPr>
        <w:pStyle w:val="BodyText"/>
      </w:pPr>
      <w:r>
        <w:t xml:space="preserve">This Quotation Estimate document was prepared by Tehran Financial Advisory Group for professional Accountant services in Iran Tehran.</w:t>
      </w:r>
      <w:r>
        <w:br/>
      </w:r>
      <w:r>
        <w:t xml:space="preserve">Document Reference: QTE-IRN-TEH-2025-0472 | Page 1 of 1 | Confidential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Iran Tehran</dc:title>
  <dc:creator/>
  <dc:language>en</dc:language>
  <cp:keywords/>
  <dcterms:created xsi:type="dcterms:W3CDTF">2026-10-10T09:52:54Z</dcterms:created>
  <dcterms:modified xsi:type="dcterms:W3CDTF">2026-10-10T09:52:54Z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