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Accountant Services — Israel Jerusalem</w:t>
      </w:r>
    </w:p>
    <w:p>
      <w:pPr>
        <w:pStyle w:val="BodyText"/>
      </w:pPr>
      <w:r>
        <w:t xml:space="preserve">Reference No: QE-JER-2025-0487 | Date: June 15, 2025</w:t>
      </w:r>
    </w:p>
    <w:bookmarkEnd w:id="20"/>
    <w:bookmarkStart w:id="21" w:name="prepared-by"/>
    <w:p>
      <w:pPr>
        <w:pStyle w:val="Heading3"/>
      </w:pPr>
      <w:r>
        <w:t xml:space="preserve">Prepared By</w:t>
      </w:r>
    </w:p>
    <w:p>
      <w:pPr>
        <w:pStyle w:val="FirstParagraph"/>
      </w:pPr>
      <w:r>
        <w:rPr>
          <w:bCs/>
          <w:b/>
        </w:rPr>
        <w:t xml:space="preserve">Jerusalem Capital Accounting Ltd.</w:t>
      </w:r>
    </w:p>
    <w:p>
      <w:pPr>
        <w:pStyle w:val="BodyText"/>
      </w:pPr>
      <w:r>
        <w:t xml:space="preserve">12 King George Street, Jerusalem, Israel 97100</w:t>
      </w:r>
    </w:p>
    <w:p>
      <w:pPr>
        <w:pStyle w:val="BodyText"/>
      </w:pPr>
      <w:r>
        <w:t xml:space="preserve">Tel: +972-2-623-4567</w:t>
      </w:r>
    </w:p>
    <w:p>
      <w:pPr>
        <w:pStyle w:val="BodyText"/>
      </w:pPr>
      <w:r>
        <w:t xml:space="preserve">Email: estimates@jca-accountants.co.il</w:t>
      </w:r>
    </w:p>
    <w:p>
      <w:pPr>
        <w:pStyle w:val="BodyText"/>
      </w:pPr>
      <w:r>
        <w:t xml:space="preserve">VAT No: 51-234-567-8</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District], Jerusalem, Israel</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[client@email.com]</w:t>
      </w:r>
    </w:p>
    <w:p>
      <w:pPr>
        <w:pStyle w:val="BodyText"/>
      </w:pPr>
      <w:r>
        <w:rPr>
          <w:bCs/>
          <w:b/>
        </w:rPr>
        <w:t xml:space="preserve">Industry:</w:t>
      </w:r>
      <w:r>
        <w:t xml:space="preserve"> </w:t>
      </w:r>
      <w:r>
        <w:t xml:space="preserve">[Client Industry]</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Jerusalem Capital Accounting Ltd. to provide a comprehensive and transparent breakdown of professional</w:t>
      </w:r>
      <w:r>
        <w:t xml:space="preserve"> </w:t>
      </w:r>
      <w:r>
        <w:t xml:space="preserve">Accountant</w:t>
      </w:r>
      <w:r>
        <w:t xml:space="preserve"> </w:t>
      </w:r>
      <w:r>
        <w:t xml:space="preserve">services to be rendered in</w:t>
      </w:r>
      <w:r>
        <w:t xml:space="preserve"> </w:t>
      </w:r>
      <w:r>
        <w:t xml:space="preserve">Israel Jerusalem</w:t>
      </w:r>
      <w:r>
        <w:t xml:space="preserve">. This document serves as a formal proposal outlining the scope of work, applicable fees, and terms governing the engagement. The</w:t>
      </w:r>
      <w:r>
        <w:t xml:space="preserve"> </w:t>
      </w:r>
      <w:r>
        <w:t xml:space="preserve">Quotation Estimate</w:t>
      </w:r>
      <w:r>
        <w:t xml:space="preserve"> </w:t>
      </w:r>
      <w:r>
        <w:t xml:space="preserve">has been prepared in accordance with the standards set forth by the Israeli Institute of Certified Public Accountants (ICPA) and complies with all relevant regulations of the Israel Tax Authority and the Israel Securities Authority.</w:t>
      </w:r>
    </w:p>
    <w:p>
      <w:pPr>
        <w:pStyle w:val="BodyText"/>
      </w:pPr>
      <w:r>
        <w:t xml:space="preserve">As a licensed</w:t>
      </w:r>
      <w:r>
        <w:t xml:space="preserve"> </w:t>
      </w:r>
      <w:r>
        <w:t xml:space="preserve">Accountant</w:t>
      </w:r>
      <w:r>
        <w:t xml:space="preserve"> </w:t>
      </w:r>
      <w:r>
        <w:t xml:space="preserve">firm operating in the heart of</w:t>
      </w:r>
      <w:r>
        <w:t xml:space="preserve"> </w:t>
      </w:r>
      <w:r>
        <w:t xml:space="preserve">Israel Jerusalem</w:t>
      </w:r>
      <w:r>
        <w:t xml:space="preserve">, we bring over fifteen years of experience serving businesses, non-profit organizations, and individual clients across the city and the broader Jerusalem metropolitan area. This</w:t>
      </w:r>
      <w:r>
        <w:t xml:space="preserve"> </w:t>
      </w:r>
      <w:r>
        <w:t xml:space="preserve">Quotation Estimate</w:t>
      </w:r>
      <w:r>
        <w:t xml:space="preserve"> </w:t>
      </w:r>
      <w:r>
        <w:t xml:space="preserve">reflects our commitment to delivering accurate, timely, and compliant financial services tailored to the unique regulatory environment of</w:t>
      </w:r>
      <w:r>
        <w:t xml:space="preserve"> </w:t>
      </w:r>
      <w:r>
        <w:t xml:space="preserve">Israel Jerusalem</w:t>
      </w:r>
      <w:r>
        <w:t xml:space="preserve">.</w:t>
      </w:r>
    </w:p>
    <w:bookmarkEnd w:id="23"/>
    <w:bookmarkStart w:id="24" w:name="scope-of-accountant-services"/>
    <w:p>
      <w:pPr>
        <w:pStyle w:val="Heading2"/>
      </w:pPr>
      <w:r>
        <w:t xml:space="preserve">2. Scope of Accountant Services</w:t>
      </w:r>
    </w:p>
    <w:p>
      <w:pPr>
        <w:pStyle w:val="FirstParagraph"/>
      </w:pPr>
      <w:r>
        <w:t xml:space="preserve">The following</w:t>
      </w:r>
      <w:r>
        <w:t xml:space="preserve"> </w:t>
      </w:r>
      <w:r>
        <w:t xml:space="preserve">Accountant</w:t>
      </w:r>
      <w:r>
        <w:t xml:space="preserve"> </w:t>
      </w:r>
      <w:r>
        <w:t xml:space="preserve">services are included in this</w:t>
      </w:r>
      <w:r>
        <w:t xml:space="preserve"> </w:t>
      </w:r>
      <w:r>
        <w:t xml:space="preserve">Quotation Estimate</w:t>
      </w:r>
      <w:r>
        <w:t xml:space="preserve"> </w:t>
      </w:r>
      <w:r>
        <w:t xml:space="preserve">for delivery in</w:t>
      </w:r>
      <w:r>
        <w:t xml:space="preserve"> </w:t>
      </w:r>
      <w:r>
        <w:t xml:space="preserve">Israel Jerusalem</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Rate (ILS)</w:t>
            </w:r>
          </w:p>
        </w:tc>
        <w:tc>
          <w:tcPr/>
          <w:p>
            <w:pPr>
              <w:pStyle w:val="Compact"/>
              <w:jc w:val="left"/>
            </w:pPr>
            <w:r>
              <w:t xml:space="preserve">Subtotal (ILS)</w:t>
            </w:r>
          </w:p>
        </w:tc>
      </w:tr>
      <w:tr>
        <w:tc>
          <w:tcPr/>
          <w:p>
            <w:pPr>
              <w:pStyle w:val="Compact"/>
              <w:jc w:val="left"/>
            </w:pPr>
            <w:r>
              <w:t xml:space="preserve">Monthly bookkeeping and general ledger maintenance</w:t>
            </w:r>
          </w:p>
        </w:tc>
        <w:tc>
          <w:tcPr/>
          <w:p>
            <w:pPr>
              <w:pStyle w:val="Compact"/>
              <w:jc w:val="left"/>
            </w:pPr>
            <w:r>
              <w:t xml:space="preserve">Monthly</w:t>
            </w:r>
          </w:p>
        </w:tc>
        <w:tc>
          <w:tcPr/>
          <w:p>
            <w:pPr>
              <w:pStyle w:val="Compact"/>
              <w:jc w:val="left"/>
            </w:pPr>
            <w:r>
              <w:t xml:space="preserve">12 hrs</w:t>
            </w:r>
          </w:p>
        </w:tc>
        <w:tc>
          <w:tcPr/>
          <w:p>
            <w:pPr>
              <w:pStyle w:val="Compact"/>
              <w:jc w:val="left"/>
            </w:pPr>
            <w:r>
              <w:t xml:space="preserve">450</w:t>
            </w:r>
          </w:p>
        </w:tc>
        <w:tc>
          <w:tcPr/>
          <w:p>
            <w:pPr>
              <w:pStyle w:val="Compact"/>
              <w:jc w:val="left"/>
            </w:pPr>
            <w:r>
              <w:t xml:space="preserve">5,400</w:t>
            </w:r>
          </w:p>
        </w:tc>
      </w:tr>
      <w:tr>
        <w:tc>
          <w:tcPr/>
          <w:p>
            <w:pPr>
              <w:pStyle w:val="Compact"/>
              <w:jc w:val="left"/>
            </w:pPr>
            <w:r>
              <w:t xml:space="preserve">Preparation of monthly financial statements (P&amp;L, Balance Sheet, Cash Flow)</w:t>
            </w:r>
          </w:p>
        </w:tc>
        <w:tc>
          <w:tcPr/>
          <w:p>
            <w:pPr>
              <w:pStyle w:val="Compact"/>
              <w:jc w:val="left"/>
            </w:pPr>
            <w:r>
              <w:t xml:space="preserve">Monthly</w:t>
            </w:r>
          </w:p>
        </w:tc>
        <w:tc>
          <w:tcPr/>
          <w:p>
            <w:pPr>
              <w:pStyle w:val="Compact"/>
              <w:jc w:val="left"/>
            </w:pPr>
            <w:r>
              <w:t xml:space="preserve">6 hrs</w:t>
            </w:r>
          </w:p>
        </w:tc>
        <w:tc>
          <w:tcPr/>
          <w:p>
            <w:pPr>
              <w:pStyle w:val="Compact"/>
              <w:jc w:val="left"/>
            </w:pPr>
            <w:r>
              <w:t xml:space="preserve">450</w:t>
            </w:r>
          </w:p>
        </w:tc>
        <w:tc>
          <w:tcPr/>
          <w:p>
            <w:pPr>
              <w:pStyle w:val="Compact"/>
              <w:jc w:val="left"/>
            </w:pPr>
            <w:r>
              <w:t xml:space="preserve">2,700</w:t>
            </w:r>
          </w:p>
        </w:tc>
      </w:tr>
      <w:tr>
        <w:tc>
          <w:tcPr/>
          <w:p>
            <w:pPr>
              <w:pStyle w:val="Compact"/>
              <w:jc w:val="left"/>
            </w:pPr>
            <w:r>
              <w:t xml:space="preserve">VAT (Mehir) filing and reconciliation with Israel Tax Authority</w:t>
            </w:r>
          </w:p>
        </w:tc>
        <w:tc>
          <w:tcPr/>
          <w:p>
            <w:pPr>
              <w:pStyle w:val="Compact"/>
              <w:jc w:val="left"/>
            </w:pPr>
            <w:r>
              <w:t xml:space="preserve">Monthly</w:t>
            </w:r>
          </w:p>
        </w:tc>
        <w:tc>
          <w:tcPr/>
          <w:p>
            <w:pPr>
              <w:pStyle w:val="Compact"/>
              <w:jc w:val="left"/>
            </w:pPr>
            <w:r>
              <w:t xml:space="preserve">4 hrs</w:t>
            </w:r>
          </w:p>
        </w:tc>
        <w:tc>
          <w:tcPr/>
          <w:p>
            <w:pPr>
              <w:pStyle w:val="Compact"/>
              <w:jc w:val="left"/>
            </w:pPr>
            <w:r>
              <w:t xml:space="preserve">450</w:t>
            </w:r>
          </w:p>
        </w:tc>
        <w:tc>
          <w:tcPr/>
          <w:p>
            <w:pPr>
              <w:pStyle w:val="Compact"/>
              <w:jc w:val="left"/>
            </w:pPr>
            <w:r>
              <w:t xml:space="preserve">1,800</w:t>
            </w:r>
          </w:p>
        </w:tc>
      </w:tr>
      <w:tr>
        <w:tc>
          <w:tcPr/>
          <w:p>
            <w:pPr>
              <w:pStyle w:val="Compact"/>
              <w:jc w:val="left"/>
            </w:pPr>
            <w:r>
              <w:t xml:space="preserve">Payroll processing and social security (Bituach Leumi) compliance</w:t>
            </w:r>
          </w:p>
        </w:tc>
        <w:tc>
          <w:tcPr/>
          <w:p>
            <w:pPr>
              <w:pStyle w:val="Compact"/>
              <w:jc w:val="left"/>
            </w:pPr>
            <w:r>
              <w:t xml:space="preserve">Monthly</w:t>
            </w:r>
          </w:p>
        </w:tc>
        <w:tc>
          <w:tcPr/>
          <w:p>
            <w:pPr>
              <w:pStyle w:val="Compact"/>
              <w:jc w:val="left"/>
            </w:pPr>
            <w:r>
              <w:t xml:space="preserve">8 hrs</w:t>
            </w:r>
          </w:p>
        </w:tc>
        <w:tc>
          <w:tcPr/>
          <w:p>
            <w:pPr>
              <w:pStyle w:val="Compact"/>
              <w:jc w:val="left"/>
            </w:pPr>
            <w:r>
              <w:t xml:space="preserve">450</w:t>
            </w:r>
          </w:p>
        </w:tc>
        <w:tc>
          <w:tcPr/>
          <w:p>
            <w:pPr>
              <w:pStyle w:val="Compact"/>
              <w:jc w:val="left"/>
            </w:pPr>
            <w:r>
              <w:t xml:space="preserve">3,600</w:t>
            </w:r>
          </w:p>
        </w:tc>
      </w:tr>
      <w:tr>
        <w:tc>
          <w:tcPr/>
          <w:p>
            <w:pPr>
              <w:pStyle w:val="Compact"/>
              <w:jc w:val="left"/>
            </w:pPr>
            <w:r>
              <w:t xml:space="preserve">Annual financial statements preparation and audit support</w:t>
            </w:r>
          </w:p>
        </w:tc>
        <w:tc>
          <w:tcPr/>
          <w:p>
            <w:pPr>
              <w:pStyle w:val="Compact"/>
              <w:jc w:val="left"/>
            </w:pPr>
            <w:r>
              <w:t xml:space="preserve">Annually</w:t>
            </w:r>
          </w:p>
        </w:tc>
        <w:tc>
          <w:tcPr/>
          <w:p>
            <w:pPr>
              <w:pStyle w:val="Compact"/>
              <w:jc w:val="left"/>
            </w:pPr>
            <w:r>
              <w:t xml:space="preserve">40 hrs</w:t>
            </w:r>
          </w:p>
        </w:tc>
        <w:tc>
          <w:tcPr/>
          <w:p>
            <w:pPr>
              <w:pStyle w:val="Compact"/>
              <w:jc w:val="left"/>
            </w:pPr>
            <w:r>
              <w:t xml:space="preserve">450</w:t>
            </w:r>
          </w:p>
        </w:tc>
        <w:tc>
          <w:tcPr/>
          <w:p>
            <w:pPr>
              <w:pStyle w:val="Compact"/>
              <w:jc w:val="left"/>
            </w:pPr>
            <w:r>
              <w:t xml:space="preserve">18,000</w:t>
            </w:r>
          </w:p>
        </w:tc>
      </w:tr>
      <w:tr>
        <w:tc>
          <w:tcPr/>
          <w:p>
            <w:pPr>
              <w:pStyle w:val="Compact"/>
              <w:jc w:val="left"/>
            </w:pPr>
            <w:r>
              <w:t xml:space="preserve">Corporate tax (Mas Hachnasot) filing and tax planning</w:t>
            </w:r>
          </w:p>
        </w:tc>
        <w:tc>
          <w:tcPr/>
          <w:p>
            <w:pPr>
              <w:pStyle w:val="Compact"/>
              <w:jc w:val="left"/>
            </w:pPr>
            <w:r>
              <w:t xml:space="preserve">Annually</w:t>
            </w:r>
          </w:p>
        </w:tc>
        <w:tc>
          <w:tcPr/>
          <w:p>
            <w:pPr>
              <w:pStyle w:val="Compact"/>
              <w:jc w:val="left"/>
            </w:pPr>
            <w:r>
              <w:t xml:space="preserve">24 hrs</w:t>
            </w:r>
          </w:p>
        </w:tc>
        <w:tc>
          <w:tcPr/>
          <w:p>
            <w:pPr>
              <w:pStyle w:val="Compact"/>
              <w:jc w:val="left"/>
            </w:pPr>
            <w:r>
              <w:t xml:space="preserve">450</w:t>
            </w:r>
          </w:p>
        </w:tc>
        <w:tc>
          <w:tcPr/>
          <w:p>
            <w:pPr>
              <w:pStyle w:val="Compact"/>
              <w:jc w:val="left"/>
            </w:pPr>
            <w:r>
              <w:t xml:space="preserve">10,800</w:t>
            </w:r>
          </w:p>
        </w:tc>
      </w:tr>
      <w:tr>
        <w:tc>
          <w:tcPr/>
          <w:p>
            <w:pPr>
              <w:pStyle w:val="Compact"/>
              <w:jc w:val="left"/>
            </w:pPr>
            <w:r>
              <w:t xml:space="preserve">Advisory services on Israeli commercial law and accounting standards (GAAP/IFRS)</w:t>
            </w:r>
          </w:p>
        </w:tc>
        <w:tc>
          <w:tcPr/>
          <w:p>
            <w:pPr>
              <w:pStyle w:val="Compact"/>
              <w:jc w:val="left"/>
            </w:pPr>
            <w:r>
              <w:t xml:space="preserve">As needed</w:t>
            </w:r>
          </w:p>
        </w:tc>
        <w:tc>
          <w:tcPr/>
          <w:p>
            <w:pPr>
              <w:pStyle w:val="Compact"/>
              <w:jc w:val="left"/>
            </w:pPr>
            <w:r>
              <w:t xml:space="preserve">10 hrs</w:t>
            </w:r>
          </w:p>
        </w:tc>
        <w:tc>
          <w:tcPr/>
          <w:p>
            <w:pPr>
              <w:pStyle w:val="Compact"/>
              <w:jc w:val="left"/>
            </w:pPr>
            <w:r>
              <w:t xml:space="preserve">550</w:t>
            </w:r>
          </w:p>
        </w:tc>
        <w:tc>
          <w:tcPr/>
          <w:p>
            <w:pPr>
              <w:pStyle w:val="Compact"/>
              <w:jc w:val="left"/>
            </w:pPr>
            <w:r>
              <w:t xml:space="preserve">5,500</w:t>
            </w:r>
          </w:p>
        </w:tc>
      </w:tr>
      <w:tr>
        <w:tc>
          <w:tcPr/>
          <w:p>
            <w:pPr>
              <w:pStyle w:val="Compact"/>
              <w:jc w:val="left"/>
            </w:pPr>
            <w:r>
              <w:t xml:space="preserve">Bank reconciliation and cash management reporting</w:t>
            </w:r>
          </w:p>
        </w:tc>
        <w:tc>
          <w:tcPr/>
          <w:p>
            <w:pPr>
              <w:pStyle w:val="Compact"/>
              <w:jc w:val="left"/>
            </w:pPr>
            <w:r>
              <w:t xml:space="preserve">Monthly</w:t>
            </w:r>
          </w:p>
        </w:tc>
        <w:tc>
          <w:tcPr/>
          <w:p>
            <w:pPr>
              <w:pStyle w:val="Compact"/>
              <w:jc w:val="left"/>
            </w:pPr>
            <w:r>
              <w:t xml:space="preserve">4 hrs</w:t>
            </w:r>
          </w:p>
        </w:tc>
        <w:tc>
          <w:tcPr/>
          <w:p>
            <w:pPr>
              <w:pStyle w:val="Compact"/>
              <w:jc w:val="left"/>
            </w:pPr>
            <w:r>
              <w:t xml:space="preserve">450</w:t>
            </w:r>
          </w:p>
        </w:tc>
        <w:tc>
          <w:tcPr/>
          <w:p>
            <w:pPr>
              <w:pStyle w:val="Compact"/>
              <w:jc w:val="left"/>
            </w:pPr>
            <w:r>
              <w:t xml:space="preserve">1,800</w:t>
            </w:r>
          </w:p>
        </w:tc>
      </w:tr>
      <w:tr>
        <w:tc>
          <w:tcPr>
            <w:gridSpan w:val="4"/>
          </w:tcPr>
          <w:p>
            <w:pPr>
              <w:pStyle w:val="Compact"/>
              <w:jc w:val="left"/>
            </w:pPr>
            <w:r>
              <w:t xml:space="preserve">TOTAL ESTIMATED ANNUAL FEE (Excluding VAT)</w:t>
            </w:r>
          </w:p>
        </w:tc>
        <w:tc>
          <w:tcPr/>
          <w:p>
            <w:pPr>
              <w:pStyle w:val="Compact"/>
              <w:jc w:val="left"/>
            </w:pPr>
            <w:r>
              <w:t xml:space="preserve">50,600</w:t>
            </w:r>
          </w:p>
        </w:tc>
      </w:tr>
      <w:tr>
        <w:tc>
          <w:tcPr>
            <w:gridSpan w:val="4"/>
          </w:tcPr>
          <w:p>
            <w:pPr>
              <w:pStyle w:val="Compact"/>
              <w:jc w:val="left"/>
            </w:pPr>
            <w:r>
              <w:t xml:space="preserve">VAT (18%)</w:t>
            </w:r>
          </w:p>
        </w:tc>
        <w:tc>
          <w:tcPr/>
          <w:p>
            <w:pPr>
              <w:pStyle w:val="Compact"/>
              <w:jc w:val="left"/>
            </w:pPr>
            <w:r>
              <w:t xml:space="preserve">9,108</w:t>
            </w:r>
          </w:p>
        </w:tc>
      </w:tr>
      <w:tr>
        <w:tc>
          <w:tcPr>
            <w:gridSpan w:val="4"/>
          </w:tcPr>
          <w:p>
            <w:pPr>
              <w:pStyle w:val="Compact"/>
              <w:jc w:val="left"/>
            </w:pPr>
            <w:r>
              <w:t xml:space="preserve">GRAND TOTAL (Including VAT)</w:t>
            </w:r>
          </w:p>
        </w:tc>
        <w:tc>
          <w:tcPr/>
          <w:p>
            <w:pPr>
              <w:pStyle w:val="Compact"/>
              <w:jc w:val="left"/>
            </w:pPr>
            <w:r>
              <w:t xml:space="preserve">59,708</w:t>
            </w:r>
          </w:p>
        </w:tc>
      </w:tr>
    </w:tbl>
    <w:bookmarkEnd w:id="24"/>
    <w:bookmarkStart w:id="25" w:name="Xdb5762ffe5e1dda16e087650c7a063f054e1ee7"/>
    <w:p>
      <w:pPr>
        <w:pStyle w:val="Heading2"/>
      </w:pPr>
      <w:r>
        <w:t xml:space="preserve">3. Terms and Conditions of the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Accountant</w:t>
      </w:r>
      <w:r>
        <w:t xml:space="preserve"> </w:t>
      </w:r>
      <w:r>
        <w:t xml:space="preserve">fees quoted herein may be subject to revision based on prevailing market conditions in</w:t>
      </w:r>
      <w:r>
        <w:t xml:space="preserve"> </w:t>
      </w:r>
      <w:r>
        <w:t xml:space="preserve">Israel Jerusalem</w:t>
      </w:r>
      <w:r>
        <w:t xml:space="preserve">.</w:t>
      </w:r>
    </w:p>
    <w:p>
      <w:pPr>
        <w:pStyle w:val="BodyText"/>
      </w:pPr>
      <w:r>
        <w:rPr>
          <w:bCs/>
          <w:b/>
        </w:rPr>
        <w:t xml:space="preserve">3.2 Payment Terms:</w:t>
      </w:r>
      <w:r>
        <w:t xml:space="preserve"> </w:t>
      </w:r>
      <w:r>
        <w:t xml:space="preserve">All fees outlined in this</w:t>
      </w:r>
      <w:r>
        <w:t xml:space="preserve"> </w:t>
      </w:r>
      <w:r>
        <w:t xml:space="preserve">Quotation Estimate</w:t>
      </w:r>
      <w:r>
        <w:t xml:space="preserve"> </w:t>
      </w:r>
      <w:r>
        <w:t xml:space="preserve">are payable within fourteen (14) days of invoice issuance. Monthly services will be invoiced on the first business day of each month. Annual services will be invoiced in quarterly installments. Payment is to be made via bank transfer to the firm's account at Bank Hapoalim, Jerusalem branch.</w:t>
      </w:r>
    </w:p>
    <w:p>
      <w:pPr>
        <w:pStyle w:val="BodyText"/>
      </w:pPr>
      <w:r>
        <w:rPr>
          <w:bCs/>
          <w:b/>
        </w:rPr>
        <w:t xml:space="preserve">3.3 Scope Limitations:</w:t>
      </w:r>
      <w:r>
        <w:t xml:space="preserve"> </w:t>
      </w:r>
      <w:r>
        <w:t xml:space="preserve">This</w:t>
      </w:r>
      <w:r>
        <w:t xml:space="preserve"> </w:t>
      </w:r>
      <w:r>
        <w:t xml:space="preserve">Quotation Estimate</w:t>
      </w:r>
      <w:r>
        <w:t xml:space="preserve"> </w:t>
      </w:r>
      <w:r>
        <w:t xml:space="preserve">covers the</w:t>
      </w:r>
      <w:r>
        <w:t xml:space="preserve"> </w:t>
      </w:r>
      <w:r>
        <w:t xml:space="preserve">Accountant</w:t>
      </w:r>
      <w:r>
        <w:t xml:space="preserve"> </w:t>
      </w:r>
      <w:r>
        <w:t xml:space="preserve">services explicitly listed in Section 2. Any additional services, including but not limited to litigation support, forensic accounting, or representation before the Israel Tax Authority in dispute proceedings, will be quoted separately and require written approval from the client.</w:t>
      </w:r>
    </w:p>
    <w:p>
      <w:pPr>
        <w:pStyle w:val="BodyText"/>
      </w:pPr>
      <w:r>
        <w:rPr>
          <w:bCs/>
          <w:b/>
        </w:rPr>
        <w:t xml:space="preserve">3.4 Client Obligations:</w:t>
      </w:r>
      <w:r>
        <w:t xml:space="preserve"> </w:t>
      </w:r>
      <w:r>
        <w:t xml:space="preserve">The client agrees to provide all necessary financial documents, bank statements, invoices, and supporting records in a timely manner to enable the</w:t>
      </w:r>
      <w:r>
        <w:t xml:space="preserve"> </w:t>
      </w:r>
      <w:r>
        <w:t xml:space="preserve">Accountant</w:t>
      </w:r>
      <w:r>
        <w:t xml:space="preserve"> </w:t>
      </w:r>
      <w:r>
        <w:t xml:space="preserve">to perform services without delay. Failure to provide documentation within five (5) business days of request may result in additional fees as per the ICPA fee schedule.</w:t>
      </w:r>
    </w:p>
    <w:p>
      <w:pPr>
        <w:pStyle w:val="BodyText"/>
      </w:pPr>
      <w:r>
        <w:rPr>
          <w:bCs/>
          <w:b/>
        </w:rPr>
        <w:t xml:space="preserve">3.5 Confidentiality:</w:t>
      </w:r>
      <w:r>
        <w:t xml:space="preserve"> </w:t>
      </w:r>
      <w:r>
        <w:t xml:space="preserve">All financial data and business information shared in the course of this engagement will be treated with the strictest confidentiality in accordance with Israeli privacy law (Privacy Protection Law, 5741-1981) and the professional code of ethics of the ICPA.</w:t>
      </w:r>
    </w:p>
    <w:p>
      <w:pPr>
        <w:pStyle w:val="BodyText"/>
      </w:pPr>
      <w:r>
        <w:rPr>
          <w:bCs/>
          <w:b/>
        </w:rPr>
        <w:t xml:space="preserve">3.6 Jurisdiction:</w:t>
      </w:r>
      <w:r>
        <w:t xml:space="preserve"> </w:t>
      </w:r>
      <w:r>
        <w:t xml:space="preserve">This</w:t>
      </w:r>
      <w:r>
        <w:t xml:space="preserve"> </w:t>
      </w:r>
      <w:r>
        <w:t xml:space="preserve">Quotation Estimate</w:t>
      </w:r>
      <w:r>
        <w:t xml:space="preserve"> </w:t>
      </w:r>
      <w:r>
        <w:t xml:space="preserve">and any resulting agreement shall be governed by the laws of the State of Israel. Any disputes arising from this engagement shall be subject to the exclusive jurisdiction of the courts in</w:t>
      </w:r>
      <w:r>
        <w:t xml:space="preserve"> </w:t>
      </w:r>
      <w:r>
        <w:t xml:space="preserve">Israel Jerusalem</w:t>
      </w:r>
      <w:r>
        <w:t xml:space="preserve">.</w:t>
      </w:r>
    </w:p>
    <w:p>
      <w:pPr>
        <w:pStyle w:val="BodyText"/>
      </w:pPr>
      <w:r>
        <w:rPr>
          <w:bCs/>
          <w:b/>
        </w:rPr>
        <w:t xml:space="preserve">3.7 Cancellation:</w:t>
      </w:r>
      <w:r>
        <w:t xml:space="preserve"> </w:t>
      </w:r>
      <w:r>
        <w:t xml:space="preserve">Either party may terminate the engagement with thirty (30) days written notice. In the event of early termination, the</w:t>
      </w:r>
      <w:r>
        <w:t xml:space="preserve"> </w:t>
      </w:r>
      <w:r>
        <w:t xml:space="preserve">Accountant</w:t>
      </w:r>
      <w:r>
        <w:t xml:space="preserve"> </w:t>
      </w:r>
      <w:r>
        <w:t xml:space="preserve">shall be compensated for all services rendered up to the date of termination.</w:t>
      </w:r>
    </w:p>
    <w:bookmarkEnd w:id="25"/>
    <w:bookmarkStart w:id="26"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w:t>
      </w:r>
      <w:r>
        <w:t xml:space="preserve"> </w:t>
      </w:r>
      <w:r>
        <w:t xml:space="preserve">Accountant</w:t>
      </w:r>
      <w:r>
        <w:t xml:space="preserve"> </w:t>
      </w:r>
      <w:r>
        <w:t xml:space="preserve">services, fees, and terms as outlined herein for delivery in</w:t>
      </w:r>
      <w:r>
        <w:t xml:space="preserve"> </w:t>
      </w:r>
      <w:r>
        <w:t xml:space="preserve">Israel Jerusalem</w:t>
      </w:r>
      <w:r>
        <w:t xml:space="preserve">. This signature constitutes a binding agreement between the parties.</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Jerusalem Capital Accounting Ltd.</w:t>
            </w:r>
          </w:p>
        </w:tc>
        <w:tc>
          <w:tcPr/>
          <w:p>
            <w:pPr>
              <w:pStyle w:val="Compact"/>
              <w:jc w:val="left"/>
            </w:pPr>
            <w:r>
              <w:t xml:space="preserve">For the Client</w:t>
            </w:r>
          </w:p>
        </w:tc>
      </w:tr>
      <w:tr>
        <w:tc>
          <w:tcPr/>
          <w:p>
            <w:pPr>
              <w:jc w:val="left"/>
            </w:pPr>
            <w:r>
              <w:t xml:space="preserve">Name: ___________________________</w:t>
            </w:r>
          </w:p>
          <w:p>
            <w:pPr>
              <w:jc w:val="left"/>
            </w:pPr>
            <w:r>
              <w:t xml:space="preserve">Title: Licensed Accountant (ICPA)</w:t>
            </w:r>
          </w:p>
          <w:p>
            <w:pPr>
              <w:jc w:val="left"/>
            </w:pPr>
            <w:r>
              <w:t xml:space="preserve">Signature: ___________________________</w:t>
            </w:r>
          </w:p>
          <w:p>
            <w:pPr>
              <w:jc w:val="left"/>
            </w:pPr>
            <w:r>
              <w:t xml:space="preserve">Date: ___________________________</w:t>
            </w:r>
          </w:p>
        </w:tc>
        <w:tc>
          <w:tcPr/>
          <w:p>
            <w:pPr>
              <w:jc w:val="left"/>
            </w:pPr>
            <w:r>
              <w:t xml:space="preserve">Name: ___________________________</w:t>
            </w:r>
          </w:p>
          <w:p>
            <w:pPr>
              <w:jc w:val="left"/>
            </w:pPr>
            <w:r>
              <w:t xml:space="preserve">Title: ___________________________</w:t>
            </w:r>
          </w:p>
          <w:p>
            <w:pPr>
              <w:jc w:val="left"/>
            </w:pPr>
            <w:r>
              <w:t xml:space="preserve">Signature: ___________________________</w:t>
            </w:r>
          </w:p>
          <w:p>
            <w:pPr>
              <w:jc w:val="left"/>
            </w:pPr>
            <w:r>
              <w:t xml:space="preserve">Date: ___________________________</w:t>
            </w:r>
          </w:p>
        </w:tc>
      </w:tr>
    </w:tbl>
    <w:p>
      <w:pPr>
        <w:pStyle w:val="BodyText"/>
      </w:pPr>
      <w:r>
        <w:t xml:space="preserve">Jerusalem Capital Accounting Ltd. | 12 King George Street, Jerusalem, Israel 97100</w:t>
      </w:r>
    </w:p>
    <w:p>
      <w:pPr>
        <w:pStyle w:val="BodyText"/>
      </w:pPr>
      <w:r>
        <w:t xml:space="preserve">Licensed by the Israeli Institute of Certified Public Accountants (ICPA) | License No: 10-45678</w:t>
      </w:r>
    </w:p>
    <w:p>
      <w:pPr>
        <w:pStyle w:val="BodyText"/>
      </w:pPr>
      <w:r>
        <w:t xml:space="preserve">This Quotation Estimate is a confidential document intended solely for the named recipient. Unauthorized distribution is prohibited.</w:t>
      </w:r>
    </w:p>
    <w:p>
      <w:pPr>
        <w:pStyle w:val="BodyText"/>
      </w:pPr>
      <w:r>
        <w:t xml:space="preserve">© 2025 Jerusalem Capital Accounting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Israel Jerusalem</dc:title>
  <dc:creator/>
  <dc:language>en</dc:language>
  <cp:keywords/>
  <dcterms:created xsi:type="dcterms:W3CDTF">2026-10-10T06:58:02Z</dcterms:created>
  <dcterms:modified xsi:type="dcterms:W3CDTF">2026-10-10T06:58:02Z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