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Accountant</w:t>
      </w:r>
      <w:r>
        <w:t xml:space="preserve"> </w:t>
      </w:r>
      <w:r>
        <w:t xml:space="preserve">Services</w:t>
      </w:r>
      <w:r>
        <w:t xml:space="preserve"> </w:t>
      </w:r>
      <w:r>
        <w:t xml:space="preserve">-</w:t>
      </w:r>
      <w:r>
        <w:t xml:space="preserve"> </w:t>
      </w:r>
      <w:r>
        <w:t xml:space="preserve">Israel</w:t>
      </w:r>
      <w:r>
        <w:t xml:space="preserve"> </w:t>
      </w:r>
      <w:r>
        <w:t xml:space="preserve">Tel</w:t>
      </w:r>
      <w:r>
        <w:t xml:space="preserve"> </w:t>
      </w:r>
      <w:r>
        <w:t xml:space="preserve">Aviv</w:t>
      </w:r>
    </w:p>
    <w:bookmarkStart w:id="20" w:name="quotation-estimate"/>
    <w:p>
      <w:pPr>
        <w:pStyle w:val="Heading1"/>
      </w:pPr>
      <w:r>
        <w:t xml:space="preserve">Quotation Estimate</w:t>
      </w:r>
    </w:p>
    <w:p>
      <w:pPr>
        <w:pStyle w:val="FirstParagraph"/>
      </w:pPr>
      <w:r>
        <w:rPr>
          <w:bCs/>
          <w:b/>
        </w:rPr>
        <w:t xml:space="preserve">Accountant Services</w:t>
      </w:r>
      <w:r>
        <w:t xml:space="preserve"> </w:t>
      </w:r>
      <w:r>
        <w:t xml:space="preserve">| Professional Financial &amp; Tax Advisory</w:t>
      </w:r>
    </w:p>
    <w:p>
      <w:pPr>
        <w:pStyle w:val="BodyText"/>
      </w:pPr>
      <w:r>
        <w:t xml:space="preserve">Registered in Israel Tel Aviv | License No. IL-ACC-2024-0871</w:t>
      </w:r>
    </w:p>
    <w:p>
      <w:pPr>
        <w:pStyle w:val="BodyText"/>
      </w:pPr>
      <w:r>
        <w:t xml:space="preserve">123 HaYarkon Street, Tel Aviv-Yafo, Israel 6453001 | Tel: +972-3-555-0142 | Email: quotes@tla-accountants.co.il</w:t>
      </w:r>
    </w:p>
    <w:bookmarkEnd w:id="20"/>
    <w:p>
      <w:pPr>
        <w:pStyle w:val="BodyText"/>
      </w:pPr>
      <w:r>
        <w:rPr>
          <w:bCs/>
          <w:b/>
        </w:rPr>
        <w:t xml:space="preserve">Quotation No.:</w:t>
      </w:r>
      <w:r>
        <w:t xml:space="preserve"> </w:t>
      </w:r>
      <w:r>
        <w:t xml:space="preserve">QE-TLV-2025-00347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For:</w:t>
      </w:r>
      <w:r>
        <w:t xml:space="preserve"> </w:t>
      </w:r>
      <w:r>
        <w:t xml:space="preserve">[Client Name / Company]</w:t>
      </w:r>
    </w:p>
    <w:bookmarkStart w:id="21" w:name="Xe532c59dfae952c7b294537f0870e379934ad70"/>
    <w:p>
      <w:pPr>
        <w:pStyle w:val="Heading2"/>
      </w:pPr>
      <w:r>
        <w:t xml:space="preserve">1. Introduction &amp; Purpose of This Quotation Estimate</w:t>
      </w:r>
    </w:p>
    <w:p>
      <w:pPr>
        <w:pStyle w:val="FirstParagraph"/>
      </w:pPr>
      <w:r>
        <w:t xml:space="preserve">This</w:t>
      </w:r>
      <w:r>
        <w:t xml:space="preserve"> </w:t>
      </w:r>
      <w:r>
        <w:t xml:space="preserve">Quotation Estimate</w:t>
      </w:r>
      <w:r>
        <w:t xml:space="preserve"> </w:t>
      </w:r>
      <w:r>
        <w:t xml:space="preserve">is issued by our firm, a licensed and fully registered</w:t>
      </w:r>
      <w:r>
        <w:t xml:space="preserve"> </w:t>
      </w:r>
      <w:r>
        <w:t xml:space="preserve">Accountant</w:t>
      </w:r>
      <w:r>
        <w:t xml:space="preserve"> </w:t>
      </w:r>
      <w:r>
        <w:t xml:space="preserve">practice operating in</w:t>
      </w:r>
      <w:r>
        <w:t xml:space="preserve"> </w:t>
      </w:r>
      <w:r>
        <w:t xml:space="preserve">Israel Tel Aviv</w:t>
      </w:r>
      <w:r>
        <w:t xml:space="preserve">, to provide a comprehensive and transparent breakdown of professional accounting, tax advisory, and financial reporting services. We understand that businesses and individuals in the vibrant economic hub of Tel Aviv require precise, compliant, and timely financial management. This document serves as a formal estimate of costs, scope of work, and deliverables associated with the engagement of our</w:t>
      </w:r>
      <w:r>
        <w:t xml:space="preserve"> </w:t>
      </w:r>
      <w:r>
        <w:t xml:space="preserve">Accountant</w:t>
      </w:r>
      <w:r>
        <w:t xml:space="preserve"> </w:t>
      </w:r>
      <w:r>
        <w:t xml:space="preserve">team for the fiscal year 2025–2026.</w:t>
      </w:r>
    </w:p>
    <w:p>
      <w:pPr>
        <w:pStyle w:val="BodyText"/>
      </w:pPr>
      <w:r>
        <w:t xml:space="preserve">All pricing in this</w:t>
      </w:r>
      <w:r>
        <w:t xml:space="preserve"> </w:t>
      </w:r>
      <w:r>
        <w:t xml:space="preserve">Quotation Estimate</w:t>
      </w:r>
      <w:r>
        <w:t xml:space="preserve"> </w:t>
      </w:r>
      <w:r>
        <w:t xml:space="preserve">is presented in New Israeli Shekels (NIS / ILS) and is subject to the applicable Value Added Tax (VAT) rate of 18% as mandated by the Israel Tax Authority. The rates quoted reflect our standard fee schedule for</w:t>
      </w:r>
      <w:r>
        <w:t xml:space="preserve"> </w:t>
      </w:r>
      <w:r>
        <w:t xml:space="preserve">Accountant</w:t>
      </w:r>
      <w:r>
        <w:t xml:space="preserve"> </w:t>
      </w:r>
      <w:r>
        <w:t xml:space="preserve">services delivered in</w:t>
      </w:r>
      <w:r>
        <w:t xml:space="preserve"> </w:t>
      </w:r>
      <w:r>
        <w:t xml:space="preserve">Israel Tel Aviv</w:t>
      </w:r>
      <w:r>
        <w:t xml:space="preserve"> </w:t>
      </w:r>
      <w:r>
        <w:t xml:space="preserve">and are based on current market conditions, regulatory requirements, and the complexity of the financial matters involved.</w:t>
      </w:r>
    </w:p>
    <w:bookmarkEnd w:id="21"/>
    <w:bookmarkStart w:id="22" w:name="client-information"/>
    <w:p>
      <w:pPr>
        <w:pStyle w:val="Heading2"/>
      </w:pPr>
      <w:r>
        <w:t xml:space="preserve">2. Client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Client Name / Company</w:t>
            </w:r>
          </w:p>
        </w:tc>
        <w:tc>
          <w:tcPr/>
          <w:p>
            <w:pPr>
              <w:pStyle w:val="Compact"/>
              <w:jc w:val="left"/>
            </w:pPr>
            <w:r>
              <w:t xml:space="preserve">[To be completed upon acceptance]</w:t>
            </w:r>
          </w:p>
        </w:tc>
      </w:tr>
      <w:tr>
        <w:tc>
          <w:tcPr/>
          <w:p>
            <w:pPr>
              <w:pStyle w:val="Compact"/>
              <w:jc w:val="left"/>
            </w:pPr>
            <w:r>
              <w:t xml:space="preserve">Tax ID (Mazal / ID Number)</w:t>
            </w:r>
          </w:p>
        </w:tc>
        <w:tc>
          <w:tcPr/>
          <w:p>
            <w:pPr>
              <w:pStyle w:val="Compact"/>
              <w:jc w:val="left"/>
            </w:pPr>
            <w:r>
              <w:t xml:space="preserve">[To be completed upon acceptance]</w:t>
            </w:r>
          </w:p>
        </w:tc>
      </w:tr>
      <w:tr>
        <w:tc>
          <w:tcPr/>
          <w:p>
            <w:pPr>
              <w:pStyle w:val="Compact"/>
              <w:jc w:val="left"/>
            </w:pPr>
            <w:r>
              <w:t xml:space="preserve">Business Address</w:t>
            </w:r>
          </w:p>
        </w:tc>
        <w:tc>
          <w:tcPr/>
          <w:p>
            <w:pPr>
              <w:pStyle w:val="Compact"/>
              <w:jc w:val="left"/>
            </w:pPr>
            <w:r>
              <w:t xml:space="preserve">Tel Aviv-Yafo, Israel</w:t>
            </w:r>
          </w:p>
        </w:tc>
      </w:tr>
      <w:tr>
        <w:tc>
          <w:tcPr/>
          <w:p>
            <w:pPr>
              <w:pStyle w:val="Compact"/>
              <w:jc w:val="left"/>
            </w:pPr>
            <w:r>
              <w:t xml:space="preserve">Industry / Sector</w:t>
            </w:r>
          </w:p>
        </w:tc>
        <w:tc>
          <w:tcPr/>
          <w:p>
            <w:pPr>
              <w:pStyle w:val="Compact"/>
              <w:jc w:val="left"/>
            </w:pPr>
            <w:r>
              <w:t xml:space="preserve">[To be specified]</w:t>
            </w:r>
          </w:p>
        </w:tc>
      </w:tr>
      <w:tr>
        <w:tc>
          <w:tcPr/>
          <w:p>
            <w:pPr>
              <w:pStyle w:val="Compact"/>
              <w:jc w:val="left"/>
            </w:pPr>
            <w:r>
              <w:t xml:space="preserve">Annual Revenue Range</w:t>
            </w:r>
          </w:p>
        </w:tc>
        <w:tc>
          <w:tcPr/>
          <w:p>
            <w:pPr>
              <w:pStyle w:val="Compact"/>
              <w:jc w:val="left"/>
            </w:pPr>
            <w:r>
              <w:t xml:space="preserve">[To be specified]</w:t>
            </w:r>
          </w:p>
        </w:tc>
      </w:tr>
      <w:tr>
        <w:tc>
          <w:tcPr/>
          <w:p>
            <w:pPr>
              <w:pStyle w:val="Compact"/>
              <w:jc w:val="left"/>
            </w:pPr>
            <w:r>
              <w:t xml:space="preserve">Number of Employees</w:t>
            </w:r>
          </w:p>
        </w:tc>
        <w:tc>
          <w:tcPr/>
          <w:p>
            <w:pPr>
              <w:pStyle w:val="Compact"/>
              <w:jc w:val="left"/>
            </w:pPr>
            <w:r>
              <w:t xml:space="preserve">[To be specified]</w:t>
            </w:r>
          </w:p>
        </w:tc>
      </w:tr>
    </w:tbl>
    <w:bookmarkEnd w:id="22"/>
    <w:bookmarkStart w:id="23" w:name="scope-of-accountant-services"/>
    <w:p>
      <w:pPr>
        <w:pStyle w:val="Heading2"/>
      </w:pPr>
      <w:r>
        <w:t xml:space="preserve">3. Scope of Accountant Services</w:t>
      </w:r>
    </w:p>
    <w:p>
      <w:pPr>
        <w:pStyle w:val="FirstParagraph"/>
      </w:pPr>
      <w:r>
        <w:t xml:space="preserve">As your dedicated</w:t>
      </w:r>
      <w:r>
        <w:t xml:space="preserve"> </w:t>
      </w:r>
      <w:r>
        <w:t xml:space="preserve">Accountant</w:t>
      </w:r>
      <w:r>
        <w:t xml:space="preserve"> </w:t>
      </w:r>
      <w:r>
        <w:t xml:space="preserve">in</w:t>
      </w:r>
      <w:r>
        <w:t xml:space="preserve"> </w:t>
      </w:r>
      <w:r>
        <w:t xml:space="preserve">Israel Tel Aviv</w:t>
      </w:r>
      <w:r>
        <w:t xml:space="preserve">, our firm will provide the following services under this</w:t>
      </w:r>
      <w:r>
        <w:t xml:space="preserve"> </w:t>
      </w:r>
      <w:r>
        <w:t xml:space="preserve">Quotation Estimate</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Frequency</w:t>
            </w:r>
          </w:p>
        </w:tc>
        <w:tc>
          <w:tcPr/>
          <w:p>
            <w:pPr>
              <w:pStyle w:val="Compact"/>
              <w:jc w:val="left"/>
            </w:pPr>
            <w:r>
              <w:t xml:space="preserve">Estimated Cost (NIS)</w:t>
            </w:r>
          </w:p>
        </w:tc>
      </w:tr>
      <w:tr>
        <w:tc>
          <w:tcPr/>
          <w:p>
            <w:pPr>
              <w:pStyle w:val="Compact"/>
              <w:jc w:val="left"/>
            </w:pPr>
            <w:r>
              <w:t xml:space="preserve">1</w:t>
            </w:r>
          </w:p>
        </w:tc>
        <w:tc>
          <w:tcPr/>
          <w:p>
            <w:pPr>
              <w:pStyle w:val="Compact"/>
              <w:jc w:val="left"/>
            </w:pPr>
            <w:r>
              <w:t xml:space="preserve">Monthly bookkeeping and general ledger maintenance in compliance with Israeli accounting standards (GAAP-IL)</w:t>
            </w:r>
          </w:p>
        </w:tc>
        <w:tc>
          <w:tcPr/>
          <w:p>
            <w:pPr>
              <w:pStyle w:val="Compact"/>
              <w:jc w:val="left"/>
            </w:pPr>
            <w:r>
              <w:t xml:space="preserve">Monthly</w:t>
            </w:r>
          </w:p>
        </w:tc>
        <w:tc>
          <w:tcPr/>
          <w:p>
            <w:pPr>
              <w:pStyle w:val="Compact"/>
              <w:jc w:val="left"/>
            </w:pPr>
            <w:r>
              <w:t xml:space="preserve">2,800</w:t>
            </w:r>
          </w:p>
        </w:tc>
      </w:tr>
      <w:tr>
        <w:tc>
          <w:tcPr/>
          <w:p>
            <w:pPr>
              <w:pStyle w:val="Compact"/>
              <w:jc w:val="left"/>
            </w:pPr>
            <w:r>
              <w:t xml:space="preserve">2</w:t>
            </w:r>
          </w:p>
        </w:tc>
        <w:tc>
          <w:tcPr/>
          <w:p>
            <w:pPr>
              <w:pStyle w:val="Compact"/>
              <w:jc w:val="left"/>
            </w:pPr>
            <w:r>
              <w:t xml:space="preserve">Preparation and filing of monthly VAT (Mehir) returns with the Israel Tax Authority</w:t>
            </w:r>
          </w:p>
        </w:tc>
        <w:tc>
          <w:tcPr/>
          <w:p>
            <w:pPr>
              <w:pStyle w:val="Compact"/>
              <w:jc w:val="left"/>
            </w:pPr>
            <w:r>
              <w:t xml:space="preserve">Monthly</w:t>
            </w:r>
          </w:p>
        </w:tc>
        <w:tc>
          <w:tcPr/>
          <w:p>
            <w:pPr>
              <w:pStyle w:val="Compact"/>
              <w:jc w:val="left"/>
            </w:pPr>
            <w:r>
              <w:t xml:space="preserve">1,200</w:t>
            </w:r>
          </w:p>
        </w:tc>
      </w:tr>
      <w:tr>
        <w:tc>
          <w:tcPr/>
          <w:p>
            <w:pPr>
              <w:pStyle w:val="Compact"/>
              <w:jc w:val="left"/>
            </w:pPr>
            <w:r>
              <w:t xml:space="preserve">3</w:t>
            </w:r>
          </w:p>
        </w:tc>
        <w:tc>
          <w:tcPr/>
          <w:p>
            <w:pPr>
              <w:pStyle w:val="Compact"/>
              <w:jc w:val="left"/>
            </w:pPr>
            <w:r>
              <w:t xml:space="preserve">Annual corporate income tax return (Toz) preparation and submission</w:t>
            </w:r>
          </w:p>
        </w:tc>
        <w:tc>
          <w:tcPr/>
          <w:p>
            <w:pPr>
              <w:pStyle w:val="Compact"/>
              <w:jc w:val="left"/>
            </w:pPr>
            <w:r>
              <w:t xml:space="preserve">Annual</w:t>
            </w:r>
          </w:p>
        </w:tc>
        <w:tc>
          <w:tcPr/>
          <w:p>
            <w:pPr>
              <w:pStyle w:val="Compact"/>
              <w:jc w:val="left"/>
            </w:pPr>
            <w:r>
              <w:t xml:space="preserve">8,500</w:t>
            </w:r>
          </w:p>
        </w:tc>
      </w:tr>
      <w:tr>
        <w:tc>
          <w:tcPr/>
          <w:p>
            <w:pPr>
              <w:pStyle w:val="Compact"/>
              <w:jc w:val="left"/>
            </w:pPr>
            <w:r>
              <w:t xml:space="preserve">4</w:t>
            </w:r>
          </w:p>
        </w:tc>
        <w:tc>
          <w:tcPr/>
          <w:p>
            <w:pPr>
              <w:pStyle w:val="Compact"/>
              <w:jc w:val="left"/>
            </w:pPr>
            <w:r>
              <w:t xml:space="preserve">Payroll processing, social security (Bituach Leumi) filings, and employee tax withholding</w:t>
            </w:r>
          </w:p>
        </w:tc>
        <w:tc>
          <w:tcPr/>
          <w:p>
            <w:pPr>
              <w:pStyle w:val="Compact"/>
              <w:jc w:val="left"/>
            </w:pPr>
            <w:r>
              <w:t xml:space="preserve">Monthly</w:t>
            </w:r>
          </w:p>
        </w:tc>
        <w:tc>
          <w:tcPr/>
          <w:p>
            <w:pPr>
              <w:pStyle w:val="Compact"/>
              <w:jc w:val="left"/>
            </w:pPr>
            <w:r>
              <w:t xml:space="preserve">3,200</w:t>
            </w:r>
          </w:p>
        </w:tc>
      </w:tr>
      <w:tr>
        <w:tc>
          <w:tcPr/>
          <w:p>
            <w:pPr>
              <w:pStyle w:val="Compact"/>
              <w:jc w:val="left"/>
            </w:pPr>
            <w:r>
              <w:t xml:space="preserve">5</w:t>
            </w:r>
          </w:p>
        </w:tc>
        <w:tc>
          <w:tcPr/>
          <w:p>
            <w:pPr>
              <w:pStyle w:val="Compact"/>
              <w:jc w:val="left"/>
            </w:pPr>
            <w:r>
              <w:t xml:space="preserve">Quarterly financial statements and management reports (P&amp;L, Balance Sheet, Cash Flow)</w:t>
            </w:r>
          </w:p>
        </w:tc>
        <w:tc>
          <w:tcPr/>
          <w:p>
            <w:pPr>
              <w:pStyle w:val="Compact"/>
              <w:jc w:val="left"/>
            </w:pPr>
            <w:r>
              <w:t xml:space="preserve">Quarterly</w:t>
            </w:r>
          </w:p>
        </w:tc>
        <w:tc>
          <w:tcPr/>
          <w:p>
            <w:pPr>
              <w:pStyle w:val="Compact"/>
              <w:jc w:val="left"/>
            </w:pPr>
            <w:r>
              <w:t xml:space="preserve">4,500</w:t>
            </w:r>
          </w:p>
        </w:tc>
      </w:tr>
      <w:tr>
        <w:tc>
          <w:tcPr/>
          <w:p>
            <w:pPr>
              <w:pStyle w:val="Compact"/>
              <w:jc w:val="left"/>
            </w:pPr>
            <w:r>
              <w:t xml:space="preserve">6</w:t>
            </w:r>
          </w:p>
        </w:tc>
        <w:tc>
          <w:tcPr/>
          <w:p>
            <w:pPr>
              <w:pStyle w:val="Compact"/>
              <w:jc w:val="left"/>
            </w:pPr>
            <w:r>
              <w:t xml:space="preserve">Tax planning and advisory sessions with a senior Accountant specializing in Israeli tax law</w:t>
            </w:r>
          </w:p>
        </w:tc>
        <w:tc>
          <w:tcPr/>
          <w:p>
            <w:pPr>
              <w:pStyle w:val="Compact"/>
              <w:jc w:val="left"/>
            </w:pPr>
            <w:r>
              <w:t xml:space="preserve">Quarterly</w:t>
            </w:r>
          </w:p>
        </w:tc>
        <w:tc>
          <w:tcPr/>
          <w:p>
            <w:pPr>
              <w:pStyle w:val="Compact"/>
              <w:jc w:val="left"/>
            </w:pPr>
            <w:r>
              <w:t xml:space="preserve">3,000</w:t>
            </w:r>
          </w:p>
        </w:tc>
      </w:tr>
      <w:tr>
        <w:tc>
          <w:tcPr/>
          <w:p>
            <w:pPr>
              <w:pStyle w:val="Compact"/>
              <w:jc w:val="left"/>
            </w:pPr>
            <w:r>
              <w:t xml:space="preserve">7</w:t>
            </w:r>
          </w:p>
        </w:tc>
        <w:tc>
          <w:tcPr/>
          <w:p>
            <w:pPr>
              <w:pStyle w:val="Compact"/>
              <w:jc w:val="left"/>
            </w:pPr>
            <w:r>
              <w:t xml:space="preserve">Annual audit coordination and liaison with external auditors as required by Israeli Companies Law</w:t>
            </w:r>
          </w:p>
        </w:tc>
        <w:tc>
          <w:tcPr/>
          <w:p>
            <w:pPr>
              <w:pStyle w:val="Compact"/>
              <w:jc w:val="left"/>
            </w:pPr>
            <w:r>
              <w:t xml:space="preserve">Annual</w:t>
            </w:r>
          </w:p>
        </w:tc>
        <w:tc>
          <w:tcPr/>
          <w:p>
            <w:pPr>
              <w:pStyle w:val="Compact"/>
              <w:jc w:val="left"/>
            </w:pPr>
            <w:r>
              <w:t xml:space="preserve">5,000</w:t>
            </w:r>
          </w:p>
        </w:tc>
      </w:tr>
      <w:tr>
        <w:tc>
          <w:tcPr/>
          <w:p>
            <w:pPr>
              <w:pStyle w:val="Compact"/>
              <w:jc w:val="left"/>
            </w:pPr>
            <w:r>
              <w:t xml:space="preserve">8</w:t>
            </w:r>
          </w:p>
        </w:tc>
        <w:tc>
          <w:tcPr/>
          <w:p>
            <w:pPr>
              <w:pStyle w:val="Compact"/>
              <w:jc w:val="left"/>
            </w:pPr>
            <w:r>
              <w:t xml:space="preserve">Regulatory compliance monitoring (Companies Registrar, Tax Authority, Ministry of Finance)</w:t>
            </w:r>
          </w:p>
        </w:tc>
        <w:tc>
          <w:tcPr/>
          <w:p>
            <w:pPr>
              <w:pStyle w:val="Compact"/>
              <w:jc w:val="left"/>
            </w:pPr>
            <w:r>
              <w:t xml:space="preserve">Ongoing</w:t>
            </w:r>
          </w:p>
        </w:tc>
        <w:tc>
          <w:tcPr/>
          <w:p>
            <w:pPr>
              <w:pStyle w:val="Compact"/>
              <w:jc w:val="left"/>
            </w:pPr>
            <w:r>
              <w:t xml:space="preserve">1,500</w:t>
            </w:r>
          </w:p>
        </w:tc>
      </w:tr>
      <w:tr>
        <w:tc>
          <w:tcPr/>
          <w:p>
            <w:pPr>
              <w:pStyle w:val="Compact"/>
              <w:jc w:val="left"/>
            </w:pPr>
            <w:r>
              <w:t xml:space="preserve">9</w:t>
            </w:r>
          </w:p>
        </w:tc>
        <w:tc>
          <w:tcPr/>
          <w:p>
            <w:pPr>
              <w:pStyle w:val="Compact"/>
              <w:jc w:val="left"/>
            </w:pPr>
            <w:r>
              <w:t xml:space="preserve">Ad-hoc consulting, financial modeling, and special projects (billed at hourly rate)</w:t>
            </w:r>
          </w:p>
        </w:tc>
        <w:tc>
          <w:tcPr/>
          <w:p>
            <w:pPr>
              <w:pStyle w:val="Compact"/>
              <w:jc w:val="left"/>
            </w:pPr>
            <w:r>
              <w:t xml:space="preserve">As needed</w:t>
            </w:r>
          </w:p>
        </w:tc>
        <w:tc>
          <w:tcPr/>
          <w:p>
            <w:pPr>
              <w:pStyle w:val="Compact"/>
              <w:jc w:val="left"/>
            </w:pPr>
            <w:r>
              <w:t xml:space="preserve">450 / hour</w:t>
            </w:r>
          </w:p>
        </w:tc>
      </w:tr>
      <w:tr>
        <w:tc>
          <w:tcPr/>
          <w:p>
            <w:pPr>
              <w:pStyle w:val="Compact"/>
              <w:jc w:val="left"/>
            </w:pPr>
            <w:r>
              <w:t xml:space="preserve">10</w:t>
            </w:r>
          </w:p>
        </w:tc>
        <w:tc>
          <w:tcPr/>
          <w:p>
            <w:pPr>
              <w:pStyle w:val="Compact"/>
              <w:jc w:val="left"/>
            </w:pPr>
            <w:r>
              <w:t xml:space="preserve">Digital document management, secure cloud storage, and electronic filing services</w:t>
            </w:r>
          </w:p>
        </w:tc>
        <w:tc>
          <w:tcPr/>
          <w:p>
            <w:pPr>
              <w:pStyle w:val="Compact"/>
              <w:jc w:val="left"/>
            </w:pPr>
            <w:r>
              <w:t xml:space="preserve">Annual</w:t>
            </w:r>
          </w:p>
        </w:tc>
        <w:tc>
          <w:tcPr/>
          <w:p>
            <w:pPr>
              <w:pStyle w:val="Compact"/>
              <w:jc w:val="left"/>
            </w:pPr>
            <w:r>
              <w:t xml:space="preserve">2,400</w:t>
            </w:r>
          </w:p>
        </w:tc>
      </w:tr>
    </w:tbl>
    <w:bookmarkEnd w:id="23"/>
    <w:bookmarkStart w:id="24" w:name="cost-summary"/>
    <w:p>
      <w:pPr>
        <w:pStyle w:val="Heading2"/>
      </w:pPr>
      <w:r>
        <w:t xml:space="preserve">4. Cost Summary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Category</w:t>
            </w:r>
          </w:p>
        </w:tc>
        <w:tc>
          <w:tcPr/>
          <w:p>
            <w:pPr>
              <w:pStyle w:val="Compact"/>
              <w:jc w:val="left"/>
            </w:pPr>
            <w:r>
              <w:t xml:space="preserve">Amount (NIS)</w:t>
            </w:r>
          </w:p>
        </w:tc>
      </w:tr>
      <w:tr>
        <w:tc>
          <w:tcPr/>
          <w:p>
            <w:pPr>
              <w:pStyle w:val="Compact"/>
              <w:jc w:val="left"/>
            </w:pPr>
            <w:r>
              <w:t xml:space="preserve">Monthly recurring services (Items 1, 2, 4, 8) – Annualized</w:t>
            </w:r>
          </w:p>
        </w:tc>
        <w:tc>
          <w:tcPr/>
          <w:p>
            <w:pPr>
              <w:pStyle w:val="Compact"/>
              <w:jc w:val="left"/>
            </w:pPr>
            <w:r>
              <w:t xml:space="preserve">105,600</w:t>
            </w:r>
          </w:p>
        </w:tc>
      </w:tr>
      <w:tr>
        <w:tc>
          <w:tcPr/>
          <w:p>
            <w:pPr>
              <w:pStyle w:val="Compact"/>
              <w:jc w:val="left"/>
            </w:pPr>
            <w:r>
              <w:t xml:space="preserve">Quarterly services (Items 5, 6) – Annualized</w:t>
            </w:r>
          </w:p>
        </w:tc>
        <w:tc>
          <w:tcPr/>
          <w:p>
            <w:pPr>
              <w:pStyle w:val="Compact"/>
              <w:jc w:val="left"/>
            </w:pPr>
            <w:r>
              <w:t xml:space="preserve">30,000</w:t>
            </w:r>
          </w:p>
        </w:tc>
      </w:tr>
      <w:tr>
        <w:tc>
          <w:tcPr/>
          <w:p>
            <w:pPr>
              <w:pStyle w:val="Compact"/>
              <w:jc w:val="left"/>
            </w:pPr>
            <w:r>
              <w:t xml:space="preserve">Annual services (Items 3, 7, 10)</w:t>
            </w:r>
          </w:p>
        </w:tc>
        <w:tc>
          <w:tcPr/>
          <w:p>
            <w:pPr>
              <w:pStyle w:val="Compact"/>
              <w:jc w:val="left"/>
            </w:pPr>
            <w:r>
              <w:t xml:space="preserve">15,900</w:t>
            </w:r>
          </w:p>
        </w:tc>
      </w:tr>
      <w:tr>
        <w:tc>
          <w:tcPr/>
          <w:p>
            <w:pPr>
              <w:pStyle w:val="Compact"/>
              <w:jc w:val="left"/>
            </w:pPr>
            <w:r>
              <w:t xml:space="preserve">Estimated ad-hoc consulting (10 hours)</w:t>
            </w:r>
          </w:p>
        </w:tc>
        <w:tc>
          <w:tcPr/>
          <w:p>
            <w:pPr>
              <w:pStyle w:val="Compact"/>
              <w:jc w:val="left"/>
            </w:pPr>
            <w:r>
              <w:t xml:space="preserve">4,500</w:t>
            </w:r>
          </w:p>
        </w:tc>
      </w:tr>
      <w:tr>
        <w:tc>
          <w:tcPr/>
          <w:p>
            <w:pPr>
              <w:pStyle w:val="Compact"/>
              <w:jc w:val="left"/>
            </w:pPr>
            <w:r>
              <w:t xml:space="preserve">Subtotal (Excluding VAT)</w:t>
            </w:r>
          </w:p>
        </w:tc>
        <w:tc>
          <w:tcPr/>
          <w:p>
            <w:pPr>
              <w:pStyle w:val="Compact"/>
              <w:jc w:val="left"/>
            </w:pPr>
            <w:r>
              <w:t xml:space="preserve">156,000</w:t>
            </w:r>
          </w:p>
        </w:tc>
      </w:tr>
      <w:tr>
        <w:tc>
          <w:tcPr/>
          <w:p>
            <w:pPr>
              <w:pStyle w:val="Compact"/>
              <w:jc w:val="left"/>
            </w:pPr>
            <w:r>
              <w:t xml:space="preserve">VAT (18%)</w:t>
            </w:r>
          </w:p>
        </w:tc>
        <w:tc>
          <w:tcPr/>
          <w:p>
            <w:pPr>
              <w:pStyle w:val="Compact"/>
              <w:jc w:val="left"/>
            </w:pPr>
            <w:r>
              <w:t xml:space="preserve">28,080</w:t>
            </w:r>
          </w:p>
        </w:tc>
      </w:tr>
      <w:tr>
        <w:tc>
          <w:tcPr/>
          <w:p>
            <w:pPr>
              <w:pStyle w:val="Compact"/>
              <w:jc w:val="left"/>
            </w:pPr>
            <w:r>
              <w:t xml:space="preserve">Total Estimated Annual Cost (Including VAT)</w:t>
            </w:r>
          </w:p>
        </w:tc>
        <w:tc>
          <w:tcPr/>
          <w:p>
            <w:pPr>
              <w:pStyle w:val="Compact"/>
              <w:jc w:val="left"/>
            </w:pPr>
            <w:r>
              <w:t xml:space="preserve">184,080</w:t>
            </w:r>
          </w:p>
        </w:tc>
      </w:tr>
    </w:tbl>
    <w:bookmarkEnd w:id="24"/>
    <w:bookmarkStart w:id="25" w:name="terms-and-conditions"/>
    <w:p>
      <w:pPr>
        <w:pStyle w:val="Heading2"/>
      </w:pPr>
      <w:r>
        <w:t xml:space="preserve">5.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this period, pricing may be revised to reflect changes in regulatory fees, labor costs, or market conditions in</w:t>
      </w:r>
      <w:r>
        <w:t xml:space="preserve"> </w:t>
      </w:r>
      <w:r>
        <w:t xml:space="preserve">Israel Tel Aviv</w:t>
      </w:r>
      <w:r>
        <w:t xml:space="preserve">.</w:t>
      </w:r>
    </w:p>
    <w:p>
      <w:pPr>
        <w:numPr>
          <w:ilvl w:val="0"/>
          <w:numId w:val="1001"/>
        </w:numPr>
        <w:pStyle w:val="Compact"/>
      </w:pPr>
      <w:r>
        <w:t xml:space="preserve">All services will be performed by a licensed</w:t>
      </w:r>
      <w:r>
        <w:t xml:space="preserve"> </w:t>
      </w:r>
      <w:r>
        <w:t xml:space="preserve">Accountant</w:t>
      </w:r>
      <w:r>
        <w:t xml:space="preserve"> </w:t>
      </w:r>
      <w:r>
        <w:t xml:space="preserve">or under the direct supervision of a senior</w:t>
      </w:r>
      <w:r>
        <w:t xml:space="preserve"> </w:t>
      </w:r>
      <w:r>
        <w:t xml:space="preserve">Accountant</w:t>
      </w:r>
      <w:r>
        <w:t xml:space="preserve"> </w:t>
      </w:r>
      <w:r>
        <w:t xml:space="preserve">holding a valid Israeli CPA (Chartered Professional Accountant) license issued by the Israel Institute of CPAs.</w:t>
      </w:r>
    </w:p>
    <w:p>
      <w:pPr>
        <w:numPr>
          <w:ilvl w:val="0"/>
          <w:numId w:val="1001"/>
        </w:numPr>
        <w:pStyle w:val="Compact"/>
      </w:pPr>
      <w:r>
        <w:t xml:space="preserve">Payment terms: 50% of the annual fee is due upon contract signing; the remaining 50% is payable in equal monthly installments over the following eleven (11) months. Ad-hoc consulting fees are invoiced monthly in arrears.</w:t>
      </w:r>
    </w:p>
    <w:p>
      <w:pPr>
        <w:numPr>
          <w:ilvl w:val="0"/>
          <w:numId w:val="1001"/>
        </w:numPr>
        <w:pStyle w:val="Compact"/>
      </w:pPr>
      <w:r>
        <w:t xml:space="preserve">The client agrees to provide all necessary financial documents, bank statements, invoices, and supporting records in a timely manner to ensure the</w:t>
      </w:r>
      <w:r>
        <w:t xml:space="preserve"> </w:t>
      </w:r>
      <w:r>
        <w:t xml:space="preserve">Accountant</w:t>
      </w:r>
      <w:r>
        <w:t xml:space="preserve"> </w:t>
      </w:r>
      <w:r>
        <w:t xml:space="preserve">can meet statutory filing deadlines set by the Israel Tax Authority and the Companies Registrar.</w:t>
      </w:r>
    </w:p>
    <w:p>
      <w:pPr>
        <w:numPr>
          <w:ilvl w:val="0"/>
          <w:numId w:val="1001"/>
        </w:numPr>
        <w:pStyle w:val="Compact"/>
      </w:pPr>
      <w:r>
        <w:t xml:space="preserve">Confidentiality: All financial data, records, and information shared in the course of this engagement are subject to strict confidentiality in accordance with Israeli privacy law (Privacy Protection Law, 5741-1981) and professional ethical standards.</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both parties have signed and returned the acceptance section below. Upon acceptance, a formal Service Agreement will be executed.</w:t>
      </w:r>
    </w:p>
    <w:p>
      <w:pPr>
        <w:numPr>
          <w:ilvl w:val="0"/>
          <w:numId w:val="1001"/>
        </w:numPr>
        <w:pStyle w:val="Compact"/>
      </w:pPr>
      <w:r>
        <w:t xml:space="preserve">Any additional services not explicitly listed in this estimate will be subject to a separate written amendment and additional fee approval.</w:t>
      </w:r>
    </w:p>
    <w:p>
      <w:pPr>
        <w:numPr>
          <w:ilvl w:val="0"/>
          <w:numId w:val="1001"/>
        </w:numPr>
        <w:pStyle w:val="Compact"/>
      </w:pPr>
      <w:r>
        <w:t xml:space="preserve">Disputes arising from this engagement shall be governed by the laws of the State of Israel, with jurisdiction vested in the courts of</w:t>
      </w:r>
      <w:r>
        <w:t xml:space="preserve"> </w:t>
      </w:r>
      <w:r>
        <w:t xml:space="preserve">Israel Tel Aviv</w:t>
      </w:r>
      <w:r>
        <w:t xml:space="preserve">.</w:t>
      </w:r>
    </w:p>
    <w:bookmarkEnd w:id="25"/>
    <w:bookmarkStart w:id="26" w:name="X8ae308fe678251f8c67f3a2bc8fef2086b8a41a"/>
    <w:p>
      <w:pPr>
        <w:pStyle w:val="Heading2"/>
      </w:pPr>
      <w:r>
        <w:t xml:space="preserve">6. Why Choose Our Accountant Practice in Israel Tel Aviv</w:t>
      </w:r>
    </w:p>
    <w:p>
      <w:pPr>
        <w:pStyle w:val="FirstParagraph"/>
      </w:pPr>
      <w:r>
        <w:t xml:space="preserve">Our firm has been serving businesses, startups, and individuals in</w:t>
      </w:r>
      <w:r>
        <w:t xml:space="preserve"> </w:t>
      </w:r>
      <w:r>
        <w:t xml:space="preserve">Israel Tel Aviv</w:t>
      </w:r>
      <w:r>
        <w:t xml:space="preserve"> </w:t>
      </w:r>
      <w:r>
        <w:t xml:space="preserve">for over fifteen years. We maintain deep expertise in Israeli tax legislation, corporate governance, and international financial reporting standards. Our team of qualified</w:t>
      </w:r>
      <w:r>
        <w:t xml:space="preserve"> </w:t>
      </w:r>
      <w:r>
        <w:t xml:space="preserve">Accountant</w:t>
      </w:r>
      <w:r>
        <w:t xml:space="preserve"> </w:t>
      </w:r>
      <w:r>
        <w:t xml:space="preserve">professionals stays current with all amendments issued by the Ministry of Finance and the Israel Tax Authority, ensuring that every</w:t>
      </w:r>
      <w:r>
        <w:t xml:space="preserve"> </w:t>
      </w:r>
      <w:r>
        <w:t xml:space="preserve">Quotation Estimate</w:t>
      </w:r>
      <w:r>
        <w:t xml:space="preserve"> </w:t>
      </w:r>
      <w:r>
        <w:t xml:space="preserve">we provide reflects the most up-to-date regulatory environment. Whether you are a tech startup in the Ramat Gan corridor, a retail business in the city center, or a multinational subsidiary operating from Tel Aviv, our</w:t>
      </w:r>
      <w:r>
        <w:t xml:space="preserve"> </w:t>
      </w:r>
      <w:r>
        <w:t xml:space="preserve">Accountant</w:t>
      </w:r>
      <w:r>
        <w:t xml:space="preserve"> </w:t>
      </w:r>
      <w:r>
        <w:t xml:space="preserve">services are tailored to your specific industry, size, and growth trajectory.</w:t>
      </w:r>
    </w:p>
    <w:bookmarkEnd w:id="26"/>
    <w:bookmarkStart w:id="27" w:name="acceptance-of-quotation-estimate"/>
    <w:p>
      <w:pPr>
        <w:pStyle w:val="Heading2"/>
      </w:pPr>
      <w:r>
        <w:t xml:space="preserve">7. Acceptance of Quotation Estimate</w:t>
      </w:r>
    </w:p>
    <w:p>
      <w:pPr>
        <w:pStyle w:val="FirstParagraph"/>
      </w:pPr>
      <w:r>
        <w:t xml:space="preserve">By signing below, the client acknowledges receipt of this</w:t>
      </w:r>
      <w:r>
        <w:t xml:space="preserve"> </w:t>
      </w:r>
      <w:r>
        <w:t xml:space="preserve">Quotation Estimate</w:t>
      </w:r>
      <w:r>
        <w:t xml:space="preserve"> </w:t>
      </w:r>
      <w:r>
        <w:t xml:space="preserve">for</w:t>
      </w:r>
      <w:r>
        <w:t xml:space="preserve"> </w:t>
      </w:r>
      <w:r>
        <w:t xml:space="preserve">Accountant</w:t>
      </w:r>
      <w:r>
        <w:t xml:space="preserve"> </w:t>
      </w:r>
      <w:r>
        <w:t xml:space="preserve">services in</w:t>
      </w:r>
      <w:r>
        <w:t xml:space="preserve"> </w:t>
      </w:r>
      <w:r>
        <w:t xml:space="preserve">Israel Tel Aviv</w:t>
      </w:r>
      <w:r>
        <w:t xml:space="preserve"> </w:t>
      </w:r>
      <w:r>
        <w:t xml:space="preserve">and agrees to the terms, conditions, and pricing outlined herein. This acceptance authorizes the firm to commence the services described in Section 3.</w:t>
      </w:r>
    </w:p>
    <w:p>
      <w:pPr>
        <w:pStyle w:val="BodyText"/>
      </w:pPr>
      <w:r>
        <w:rPr>
          <w:bCs/>
          <w:b/>
        </w:rPr>
        <w:t xml:space="preserve">For the Client:</w:t>
      </w:r>
    </w:p>
    <w:p>
      <w:pPr>
        <w:pStyle w:val="BodyText"/>
      </w:pPr>
      <w:r>
        <w:t xml:space="preserve">Name / Signature / Date</w:t>
      </w:r>
    </w:p>
    <w:p>
      <w:pPr>
        <w:pStyle w:val="BodyText"/>
      </w:pPr>
      <w:r>
        <w:rPr>
          <w:bCs/>
          <w:b/>
        </w:rPr>
        <w:t xml:space="preserve">For the Accountant Firm:</w:t>
      </w:r>
    </w:p>
    <w:p>
      <w:pPr>
        <w:pStyle w:val="BodyText"/>
      </w:pPr>
      <w:r>
        <w:t xml:space="preserve">Name / Signature / Date</w:t>
      </w:r>
    </w:p>
    <w:bookmarkEnd w:id="27"/>
    <w:p>
      <w:pPr>
        <w:pStyle w:val="BodyText"/>
      </w:pPr>
      <w:r>
        <w:t xml:space="preserve">This Quotation Estimate document was prepared by a licensed Accountant practice registered in Israel Tel Aviv. Document Reference: QE-TLV-2025-00347. For inquiries, please contact our office at +972-3-555-0142 or quotes@tla-accountants.co.il. All rights reserved. ©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Accountant Services - Israel Tel Aviv</dc:title>
  <dc:creator/>
  <dc:language>en</dc:language>
  <cp:keywords/>
  <dcterms:created xsi:type="dcterms:W3CDTF">2026-10-10T05:49:38Z</dcterms:created>
  <dcterms:modified xsi:type="dcterms:W3CDTF">2026-10-10T05:49:38Z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