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Japan</w:t>
      </w:r>
      <w:r>
        <w:t xml:space="preserve"> </w:t>
      </w:r>
      <w:r>
        <w:t xml:space="preserve">Kyoto</w:t>
      </w:r>
    </w:p>
    <w:bookmarkStart w:id="28" w:name="quotation-estimate"/>
    <w:p>
      <w:pPr>
        <w:pStyle w:val="Heading1"/>
      </w:pPr>
      <w:r>
        <w:t xml:space="preserve">QUOTATION ESTIMATE</w:t>
      </w:r>
    </w:p>
    <w:p>
      <w:pPr>
        <w:pStyle w:val="FirstParagraph"/>
      </w:pPr>
      <w:r>
        <w:t xml:space="preserve">Ref: QE-KYO-2025-0487</w:t>
      </w:r>
    </w:p>
    <w:p>
      <w:pPr>
        <w:pStyle w:val="BodyText"/>
      </w:pPr>
      <w:r>
        <w:rPr>
          <w:bCs/>
          <w:b/>
        </w:rPr>
        <w:t xml:space="preserve">Professional Accountant Services for Japan Kyoto Region</w:t>
      </w:r>
    </w:p>
    <w:bookmarkStart w:id="20" w:name="prepared-by"/>
    <w:p>
      <w:pPr>
        <w:pStyle w:val="Heading3"/>
      </w:pPr>
      <w:r>
        <w:t xml:space="preserve">Prepared By:</w:t>
      </w:r>
    </w:p>
    <w:p>
      <w:pPr>
        <w:pStyle w:val="FirstParagraph"/>
      </w:pPr>
      <w:r>
        <w:rPr>
          <w:bCs/>
          <w:b/>
        </w:rPr>
        <w:t xml:space="preserve">Kyoto Precision Accounting &amp; Advisory Co., Ltd.</w:t>
      </w:r>
      <w:r>
        <w:br/>
      </w:r>
      <w:r>
        <w:t xml:space="preserve">12-4 Gionmachi, Higashiyama-ku</w:t>
      </w:r>
      <w:r>
        <w:br/>
      </w:r>
      <w:r>
        <w:t xml:space="preserve">Kyoto 605-0073, Japan</w:t>
      </w:r>
      <w:r>
        <w:br/>
      </w:r>
      <w:r>
        <w:t xml:space="preserve">Tel: +81-75-555-0142</w:t>
      </w:r>
      <w:r>
        <w:br/>
      </w:r>
      <w:r>
        <w:t xml:space="preserve">Email: inquiries@kyoto-precision-acc.jp</w:t>
      </w:r>
      <w:r>
        <w:br/>
      </w:r>
      <w:r>
        <w:t xml:space="preserve">Representative: Mr. Kenji Tanaka, Certified Public Accountant (Kaikeishi)</w:t>
      </w:r>
    </w:p>
    <w:bookmarkEnd w:id="20"/>
    <w:bookmarkStart w:id="21" w:name="prepared-for"/>
    <w:p>
      <w:pPr>
        <w:pStyle w:val="Heading3"/>
      </w:pPr>
      <w:r>
        <w:t xml:space="preserve">Prepared For:</w:t>
      </w:r>
    </w:p>
    <w:p>
      <w:pPr>
        <w:pStyle w:val="FirstParagraph"/>
      </w:pPr>
      <w:r>
        <w:rPr>
          <w:bCs/>
          <w:b/>
        </w:rPr>
        <w:t xml:space="preserve">Client Name:</w:t>
      </w:r>
      <w:r>
        <w:t xml:space="preserve"> </w:t>
      </w:r>
      <w:r>
        <w:t xml:space="preserve">[To be confirmed]</w:t>
      </w:r>
      <w:r>
        <w:br/>
      </w:r>
      <w:r>
        <w:rPr>
          <w:bCs/>
          <w:b/>
        </w:rPr>
        <w:t xml:space="preserve">Company:</w:t>
      </w:r>
      <w:r>
        <w:t xml:space="preserve"> </w:t>
      </w:r>
      <w:r>
        <w:t xml:space="preserve">[Client Company Name]</w:t>
      </w:r>
      <w:r>
        <w:br/>
      </w:r>
      <w:r>
        <w:rPr>
          <w:bCs/>
          <w:b/>
        </w:rPr>
        <w:t xml:space="preserve">Address:</w:t>
      </w:r>
      <w:r>
        <w:t xml:space="preserve"> </w:t>
      </w:r>
      <w:r>
        <w:t xml:space="preserve">[Client Address, Kyoto, Japan]</w:t>
      </w:r>
      <w:r>
        <w:br/>
      </w:r>
      <w:r>
        <w:rPr>
          <w:bCs/>
          <w:b/>
        </w:rPr>
        <w:t xml:space="preserve">Contact:</w:t>
      </w:r>
      <w:r>
        <w:t xml:space="preserve"> </w:t>
      </w:r>
      <w:r>
        <w:t xml:space="preserve">[Client Contact Person]</w:t>
      </w:r>
      <w:r>
        <w:br/>
      </w:r>
      <w:r>
        <w:rPr>
          <w:bCs/>
          <w:b/>
        </w:rPr>
        <w:t xml:space="preserve">Email:</w:t>
      </w:r>
      <w:r>
        <w:t xml:space="preserve"> </w:t>
      </w:r>
      <w:r>
        <w:t xml:space="preserve">[Client Email]</w:t>
      </w:r>
    </w:p>
    <w:bookmarkEnd w:id="21"/>
    <w:p>
      <w:pPr>
        <w:pStyle w:val="BodyText"/>
      </w:pPr>
      <w:r>
        <w:rPr>
          <w:bCs/>
          <w:b/>
        </w:rPr>
        <w:t xml:space="preserve">Date of Quotation:</w:t>
      </w:r>
      <w:r>
        <w:t xml:space="preserve"> </w:t>
      </w:r>
      <w:r>
        <w:t xml:space="preserve">June 15, 2025   |  </w:t>
      </w:r>
      <w:r>
        <w:t xml:space="preserve"> </w:t>
      </w:r>
      <w:r>
        <w:rPr>
          <w:bCs/>
          <w:b/>
        </w:rPr>
        <w:t xml:space="preserve">Valid Until:</w:t>
      </w:r>
      <w:r>
        <w:t xml:space="preserve"> </w:t>
      </w:r>
      <w:r>
        <w:t xml:space="preserve">July 15, 2025   |  </w:t>
      </w:r>
      <w:r>
        <w:t xml:space="preserve"> </w:t>
      </w:r>
      <w:r>
        <w:rPr>
          <w:bCs/>
          <w:b/>
        </w:rPr>
        <w:t xml:space="preserve">Currency:</w:t>
      </w:r>
      <w:r>
        <w:t xml:space="preserve"> </w:t>
      </w:r>
      <w:r>
        <w:t xml:space="preserve">Japanese Yen (JPY)</w:t>
      </w:r>
    </w:p>
    <w:bookmarkStart w:id="22" w:name="X0c7581080508d578c26b6d8dfd726c7e3ca5cc9"/>
    <w:p>
      <w:pPr>
        <w:pStyle w:val="Heading2"/>
      </w:pPr>
      <w:r>
        <w:t xml:space="preserve">1. Purpose and Scope of This Quotation Estimate</w:t>
      </w:r>
    </w:p>
    <w:p>
      <w:pPr>
        <w:pStyle w:val="FirstParagraph"/>
      </w:pPr>
      <w:r>
        <w:t xml:space="preserve">This Quotation Estimate is issued by Kyoto Precision Accounting &amp; Advisory Co., Ltd. to provide a comprehensive and transparent breakdown of professional Accountant services to be rendered within the Japan Kyoto metropolitan area. This document serves as a formal proposal outlining the scope of work, deliverables, associated fees, and terms governing the engagement. The Accountant services described herein are specifically tailored to meet the regulatory, tax, and financial reporting requirements applicable to businesses operating in Japan Kyoto, in full compliance with the Japanese Tax Code, the Companies Act, and the standards set forth by the Japanese Institute of Certified Public Accountants (JICPA).</w:t>
      </w:r>
    </w:p>
    <w:bookmarkEnd w:id="22"/>
    <w:bookmarkStart w:id="23" w:name="detailed-scope-of-accountant-services"/>
    <w:p>
      <w:pPr>
        <w:pStyle w:val="Heading2"/>
      </w:pPr>
      <w:r>
        <w:t xml:space="preserve">2. Detailed Scope of Accountant Services</w:t>
      </w:r>
    </w:p>
    <w:p>
      <w:pPr>
        <w:pStyle w:val="FirstParagraph"/>
      </w:pPr>
      <w:r>
        <w:t xml:space="preserve">The following Accountant services are included in this Quotation Estimate for the Japan Kyoto region. Each service has been structured to ensure full regulatory compliance and to support the financial health and operational efficiency of the client's business: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Estimated Hours</w:t>
            </w:r>
          </w:p>
        </w:tc>
        <w:tc>
          <w:tcPr/>
          <w:p>
            <w:pPr>
              <w:pStyle w:val="Compact"/>
              <w:jc w:val="left"/>
            </w:pPr>
            <w:r>
              <w:t xml:space="preserve">Rate (JPY/hr)</w:t>
            </w:r>
          </w:p>
        </w:tc>
        <w:tc>
          <w:tcPr/>
          <w:p>
            <w:pPr>
              <w:pStyle w:val="Compact"/>
              <w:jc w:val="left"/>
            </w:pPr>
            <w:r>
              <w:t xml:space="preserve">Subtotal (JPY)</w:t>
            </w:r>
          </w:p>
        </w:tc>
      </w:tr>
      <w:tr>
        <w:tc>
          <w:tcPr/>
          <w:p>
            <w:pPr>
              <w:pStyle w:val="Compact"/>
              <w:jc w:val="left"/>
            </w:pPr>
            <w:r>
              <w:t xml:space="preserve">1</w:t>
            </w:r>
          </w:p>
        </w:tc>
        <w:tc>
          <w:tcPr/>
          <w:p>
            <w:pPr>
              <w:pStyle w:val="Compact"/>
              <w:jc w:val="left"/>
            </w:pPr>
            <w:r>
              <w:t xml:space="preserve">Monthly bookkeeping and general ledger maintenance for Japan Kyoto operations</w:t>
            </w:r>
          </w:p>
        </w:tc>
        <w:tc>
          <w:tcPr/>
          <w:p>
            <w:pPr>
              <w:pStyle w:val="Compact"/>
              <w:jc w:val="left"/>
            </w:pPr>
            <w:r>
              <w:t xml:space="preserve">Monthly</w:t>
            </w:r>
          </w:p>
        </w:tc>
        <w:tc>
          <w:tcPr/>
          <w:p>
            <w:pPr>
              <w:pStyle w:val="Compact"/>
              <w:jc w:val="left"/>
            </w:pPr>
            <w:r>
              <w:t xml:space="preserve">12</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2</w:t>
            </w:r>
          </w:p>
        </w:tc>
        <w:tc>
          <w:tcPr/>
          <w:p>
            <w:pPr>
              <w:pStyle w:val="Compact"/>
              <w:jc w:val="left"/>
            </w:pPr>
            <w:r>
              <w:t xml:space="preserve">Preparation and filing of quarterly tax returns (corporate income tax, consumption tax) per Japan Kyoto tax office requirements</w:t>
            </w:r>
          </w:p>
        </w:tc>
        <w:tc>
          <w:tcPr/>
          <w:p>
            <w:pPr>
              <w:pStyle w:val="Compact"/>
              <w:jc w:val="left"/>
            </w:pPr>
            <w:r>
              <w:t xml:space="preserve">Quarterly</w:t>
            </w:r>
          </w:p>
        </w:tc>
        <w:tc>
          <w:tcPr/>
          <w:p>
            <w:pPr>
              <w:pStyle w:val="Compact"/>
              <w:jc w:val="left"/>
            </w:pPr>
            <w:r>
              <w:t xml:space="preserve">20</w:t>
            </w:r>
          </w:p>
        </w:tc>
        <w:tc>
          <w:tcPr/>
          <w:p>
            <w:pPr>
              <w:pStyle w:val="Compact"/>
              <w:jc w:val="left"/>
            </w:pPr>
            <w:r>
              <w:t xml:space="preserve">9,000</w:t>
            </w:r>
          </w:p>
        </w:tc>
        <w:tc>
          <w:tcPr/>
          <w:p>
            <w:pPr>
              <w:pStyle w:val="Compact"/>
              <w:jc w:val="left"/>
            </w:pPr>
            <w:r>
              <w:t xml:space="preserve">180,000</w:t>
            </w:r>
          </w:p>
        </w:tc>
      </w:tr>
      <w:tr>
        <w:tc>
          <w:tcPr/>
          <w:p>
            <w:pPr>
              <w:pStyle w:val="Compact"/>
              <w:jc w:val="left"/>
            </w:pPr>
            <w:r>
              <w:t xml:space="preserve">3</w:t>
            </w:r>
          </w:p>
        </w:tc>
        <w:tc>
          <w:tcPr/>
          <w:p>
            <w:pPr>
              <w:pStyle w:val="Compact"/>
              <w:jc w:val="left"/>
            </w:pPr>
            <w:r>
              <w:t xml:space="preserve">Annual financial statement preparation and audit support in accordance with Japanese GAAP</w:t>
            </w:r>
          </w:p>
        </w:tc>
        <w:tc>
          <w:tcPr/>
          <w:p>
            <w:pPr>
              <w:pStyle w:val="Compact"/>
              <w:jc w:val="left"/>
            </w:pPr>
            <w:r>
              <w:t xml:space="preserve">Annually</w:t>
            </w:r>
          </w:p>
        </w:tc>
        <w:tc>
          <w:tcPr/>
          <w:p>
            <w:pPr>
              <w:pStyle w:val="Compact"/>
              <w:jc w:val="left"/>
            </w:pPr>
            <w:r>
              <w:t xml:space="preserve">40</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4</w:t>
            </w:r>
          </w:p>
        </w:tc>
        <w:tc>
          <w:tcPr/>
          <w:p>
            <w:pPr>
              <w:pStyle w:val="Compact"/>
              <w:jc w:val="left"/>
            </w:pPr>
            <w:r>
              <w:t xml:space="preserve">Payroll accounting and social insurance contribution calculations for Japan Kyoto employees</w:t>
            </w:r>
          </w:p>
        </w:tc>
        <w:tc>
          <w:tcPr/>
          <w:p>
            <w:pPr>
              <w:pStyle w:val="Compact"/>
              <w:jc w:val="left"/>
            </w:pPr>
            <w:r>
              <w:t xml:space="preserve">Monthly</w:t>
            </w:r>
          </w:p>
        </w:tc>
        <w:tc>
          <w:tcPr/>
          <w:p>
            <w:pPr>
              <w:pStyle w:val="Compact"/>
              <w:jc w:val="left"/>
            </w:pPr>
            <w:r>
              <w:t xml:space="preserve">8</w:t>
            </w:r>
          </w:p>
        </w:tc>
        <w:tc>
          <w:tcPr/>
          <w:p>
            <w:pPr>
              <w:pStyle w:val="Compact"/>
              <w:jc w:val="left"/>
            </w:pPr>
            <w:r>
              <w:t xml:space="preserve">8,000</w:t>
            </w:r>
          </w:p>
        </w:tc>
        <w:tc>
          <w:tcPr/>
          <w:p>
            <w:pPr>
              <w:pStyle w:val="Compact"/>
              <w:jc w:val="left"/>
            </w:pPr>
            <w:r>
              <w:t xml:space="preserve">64,000</w:t>
            </w:r>
          </w:p>
        </w:tc>
      </w:tr>
      <w:tr>
        <w:tc>
          <w:tcPr/>
          <w:p>
            <w:pPr>
              <w:pStyle w:val="Compact"/>
              <w:jc w:val="left"/>
            </w:pPr>
            <w:r>
              <w:t xml:space="preserve">5</w:t>
            </w:r>
          </w:p>
        </w:tc>
        <w:tc>
          <w:tcPr/>
          <w:p>
            <w:pPr>
              <w:pStyle w:val="Compact"/>
              <w:jc w:val="left"/>
            </w:pPr>
            <w:r>
              <w:t xml:space="preserve">Tax planning and advisory services specific to Japan Kyoto municipal and national tax obligations</w:t>
            </w:r>
          </w:p>
        </w:tc>
        <w:tc>
          <w:tcPr/>
          <w:p>
            <w:pPr>
              <w:pStyle w:val="Compact"/>
              <w:jc w:val="left"/>
            </w:pPr>
            <w:r>
              <w:t xml:space="preserve">As needed</w:t>
            </w:r>
          </w:p>
        </w:tc>
        <w:tc>
          <w:tcPr/>
          <w:p>
            <w:pPr>
              <w:pStyle w:val="Compact"/>
              <w:jc w:val="left"/>
            </w:pPr>
            <w:r>
              <w:t xml:space="preserve">10</w:t>
            </w:r>
          </w:p>
        </w:tc>
        <w:tc>
          <w:tcPr/>
          <w:p>
            <w:pPr>
              <w:pStyle w:val="Compact"/>
              <w:jc w:val="left"/>
            </w:pPr>
            <w:r>
              <w:t xml:space="preserve">10,000</w:t>
            </w:r>
          </w:p>
        </w:tc>
        <w:tc>
          <w:tcPr/>
          <w:p>
            <w:pPr>
              <w:pStyle w:val="Compact"/>
              <w:jc w:val="left"/>
            </w:pPr>
            <w:r>
              <w:t xml:space="preserve">100,000</w:t>
            </w:r>
          </w:p>
        </w:tc>
      </w:tr>
      <w:tr>
        <w:tc>
          <w:tcPr/>
          <w:p>
            <w:pPr>
              <w:pStyle w:val="Compact"/>
              <w:jc w:val="left"/>
            </w:pPr>
            <w:r>
              <w:t xml:space="preserve">6</w:t>
            </w:r>
          </w:p>
        </w:tc>
        <w:tc>
          <w:tcPr/>
          <w:p>
            <w:pPr>
              <w:pStyle w:val="Compact"/>
              <w:jc w:val="left"/>
            </w:pPr>
            <w:r>
              <w:t xml:space="preserve">Regulatory compliance review and liaison with the Kyoto National Tax Office and local Japan Kyoto authorities</w:t>
            </w:r>
          </w:p>
        </w:tc>
        <w:tc>
          <w:tcPr/>
          <w:p>
            <w:pPr>
              <w:pStyle w:val="Compact"/>
              <w:jc w:val="left"/>
            </w:pPr>
            <w:r>
              <w:t xml:space="preserve">As needed</w:t>
            </w:r>
          </w:p>
        </w:tc>
        <w:tc>
          <w:tcPr/>
          <w:p>
            <w:pPr>
              <w:pStyle w:val="Compact"/>
              <w:jc w:val="left"/>
            </w:pPr>
            <w:r>
              <w:t xml:space="preserve">6</w:t>
            </w:r>
          </w:p>
        </w:tc>
        <w:tc>
          <w:tcPr/>
          <w:p>
            <w:pPr>
              <w:pStyle w:val="Compact"/>
              <w:jc w:val="left"/>
            </w:pPr>
            <w:r>
              <w:t xml:space="preserve">10,000</w:t>
            </w:r>
          </w:p>
        </w:tc>
        <w:tc>
          <w:tcPr/>
          <w:p>
            <w:pPr>
              <w:pStyle w:val="Compact"/>
              <w:jc w:val="left"/>
            </w:pPr>
            <w:r>
              <w:t xml:space="preserve">60,000</w:t>
            </w:r>
          </w:p>
        </w:tc>
      </w:tr>
      <w:tr>
        <w:tc>
          <w:tcPr/>
          <w:p>
            <w:pPr>
              <w:pStyle w:val="Compact"/>
              <w:jc w:val="left"/>
            </w:pPr>
            <w:r>
              <w:t xml:space="preserve">7</w:t>
            </w:r>
          </w:p>
        </w:tc>
        <w:tc>
          <w:tcPr/>
          <w:p>
            <w:pPr>
              <w:pStyle w:val="Compact"/>
              <w:jc w:val="left"/>
            </w:pPr>
            <w:r>
              <w:t xml:space="preserve">Management accounting reports and financial analysis for strategic decision-making</w:t>
            </w:r>
          </w:p>
        </w:tc>
        <w:tc>
          <w:tcPr/>
          <w:p>
            <w:pPr>
              <w:pStyle w:val="Compact"/>
              <w:jc w:val="left"/>
            </w:pPr>
            <w:r>
              <w:t xml:space="preserve">Monthly</w:t>
            </w:r>
          </w:p>
        </w:tc>
        <w:tc>
          <w:tcPr/>
          <w:p>
            <w:pPr>
              <w:pStyle w:val="Compact"/>
              <w:jc w:val="left"/>
            </w:pPr>
            <w:r>
              <w:t xml:space="preserve">6</w:t>
            </w:r>
          </w:p>
        </w:tc>
        <w:tc>
          <w:tcPr/>
          <w:p>
            <w:pPr>
              <w:pStyle w:val="Compact"/>
              <w:jc w:val="left"/>
            </w:pPr>
            <w:r>
              <w:t xml:space="preserve">9,000</w:t>
            </w:r>
          </w:p>
        </w:tc>
        <w:tc>
          <w:tcPr/>
          <w:p>
            <w:pPr>
              <w:pStyle w:val="Compact"/>
              <w:jc w:val="left"/>
            </w:pPr>
            <w:r>
              <w:t xml:space="preserve">54,000</w:t>
            </w:r>
          </w:p>
        </w:tc>
      </w:tr>
      <w:tr>
        <w:tc>
          <w:tcPr/>
          <w:p>
            <w:pPr>
              <w:pStyle w:val="Compact"/>
              <w:jc w:val="left"/>
            </w:pPr>
            <w:r>
              <w:t xml:space="preserve">8</w:t>
            </w:r>
          </w:p>
        </w:tc>
        <w:tc>
          <w:tcPr/>
          <w:p>
            <w:pPr>
              <w:pStyle w:val="Compact"/>
              <w:jc w:val="left"/>
            </w:pPr>
            <w:r>
              <w:t xml:space="preserve">Annual corporate tax return preparation and submission to Japan Kyoto tax authorities</w:t>
            </w:r>
          </w:p>
        </w:tc>
        <w:tc>
          <w:tcPr/>
          <w:p>
            <w:pPr>
              <w:pStyle w:val="Compact"/>
              <w:jc w:val="left"/>
            </w:pPr>
            <w:r>
              <w:t xml:space="preserve">Annually</w:t>
            </w:r>
          </w:p>
        </w:tc>
        <w:tc>
          <w:tcPr/>
          <w:p>
            <w:pPr>
              <w:pStyle w:val="Compact"/>
              <w:jc w:val="left"/>
            </w:pPr>
            <w:r>
              <w:t xml:space="preserve">30</w:t>
            </w:r>
          </w:p>
        </w:tc>
        <w:tc>
          <w:tcPr/>
          <w:p>
            <w:pPr>
              <w:pStyle w:val="Compact"/>
              <w:jc w:val="left"/>
            </w:pPr>
            <w:r>
              <w:t xml:space="preserve">9,500</w:t>
            </w:r>
          </w:p>
        </w:tc>
        <w:tc>
          <w:tcPr/>
          <w:p>
            <w:pPr>
              <w:pStyle w:val="Compact"/>
              <w:jc w:val="left"/>
            </w:pPr>
            <w:r>
              <w:t xml:space="preserve">285,000</w:t>
            </w:r>
          </w:p>
        </w:tc>
      </w:tr>
    </w:tbl>
    <w:bookmarkEnd w:id="23"/>
    <w:bookmarkStart w:id="24" w:name="fee-summary"/>
    <w:p>
      <w:pPr>
        <w:pStyle w:val="Heading2"/>
      </w:pPr>
      <w:r>
        <w:t xml:space="preserve">3. Fee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(JPY)</w:t>
            </w:r>
          </w:p>
        </w:tc>
      </w:tr>
      <w:tr>
        <w:tc>
          <w:tcPr/>
          <w:p>
            <w:pPr>
              <w:pStyle w:val="Compact"/>
              <w:jc w:val="left"/>
            </w:pPr>
            <w:r>
              <w:t xml:space="preserve">Subtotal – Professional Accountant Services</w:t>
            </w:r>
          </w:p>
        </w:tc>
        <w:tc>
          <w:tcPr/>
          <w:p>
            <w:pPr>
              <w:pStyle w:val="Compact"/>
              <w:jc w:val="left"/>
            </w:pPr>
            <w:r>
              <w:t xml:space="preserve">1,225,000</w:t>
            </w:r>
          </w:p>
        </w:tc>
      </w:tr>
      <w:tr>
        <w:tc>
          <w:tcPr/>
          <w:p>
            <w:pPr>
              <w:pStyle w:val="Compact"/>
              <w:jc w:val="left"/>
            </w:pPr>
            <w:r>
              <w:t xml:space="preserve">Applicable Consumption Tax (10%)</w:t>
            </w:r>
          </w:p>
        </w:tc>
        <w:tc>
          <w:tcPr/>
          <w:p>
            <w:pPr>
              <w:pStyle w:val="Compact"/>
              <w:jc w:val="left"/>
            </w:pPr>
            <w:r>
              <w:t xml:space="preserve">122,500</w:t>
            </w:r>
          </w:p>
        </w:tc>
      </w:tr>
      <w:tr>
        <w:tc>
          <w:tcPr/>
          <w:p>
            <w:pPr>
              <w:pStyle w:val="Compact"/>
              <w:jc w:val="left"/>
            </w:pPr>
            <w:r>
              <w:rPr>
                <w:bCs/>
                <w:b/>
              </w:rPr>
              <w:t xml:space="preserve">Total Quotation Estimate Amount</w:t>
            </w:r>
          </w:p>
        </w:tc>
        <w:tc>
          <w:tcPr/>
          <w:p>
            <w:pPr>
              <w:pStyle w:val="Compact"/>
              <w:jc w:val="left"/>
            </w:pPr>
            <w:r>
              <w:rPr>
                <w:bCs/>
                <w:b/>
              </w:rPr>
              <w:t xml:space="preserve">1,347,500</w:t>
            </w:r>
          </w:p>
        </w:tc>
      </w:tr>
    </w:tbl>
    <w:bookmarkEnd w:id="24"/>
    <w:bookmarkStart w:id="25" w:name="terms-and-conditions"/>
    <w:p>
      <w:pPr>
        <w:pStyle w:val="Heading2"/>
      </w:pPr>
      <w:r>
        <w:t xml:space="preserve">4. Terms and Conditions</w:t>
      </w:r>
    </w:p>
    <w:p>
      <w:pPr>
        <w:pStyle w:val="FirstParagraph"/>
      </w:pPr>
      <w:r>
        <w:t xml:space="preserve">The following terms govern this Quotation Estimate for Accountant services in Japan Kyoto:</w:t>
      </w:r>
    </w:p>
    <w:p>
      <w:pPr>
        <w:numPr>
          <w:ilvl w:val="0"/>
          <w:numId w:val="1001"/>
        </w:numPr>
        <w:pStyle w:val="Compact"/>
      </w:pPr>
      <w:r>
        <w:rPr>
          <w:bCs/>
          <w:b/>
        </w:rPr>
        <w:t xml:space="preserve">Validity:</w:t>
      </w:r>
      <w:r>
        <w:t xml:space="preserve"> </w:t>
      </w:r>
      <w:r>
        <w:t xml:space="preserve">This Quotation Estimate shall remain valid for thirty (30) calendar days from the date of issue. Beyond this period, fees may be subject to revision based on prevailing market conditions in Japan Kyoto.</w:t>
      </w:r>
    </w:p>
    <w:p>
      <w:pPr>
        <w:numPr>
          <w:ilvl w:val="0"/>
          <w:numId w:val="1001"/>
        </w:numPr>
        <w:pStyle w:val="Compact"/>
      </w:pPr>
      <w:r>
        <w:rPr>
          <w:bCs/>
          <w:b/>
        </w:rPr>
        <w:t xml:space="preserve">Payment Terms:</w:t>
      </w:r>
      <w:r>
        <w:t xml:space="preserve"> </w:t>
      </w:r>
      <w:r>
        <w:t xml:space="preserve">Invoices shall be issued monthly in arrears. Payment is due within twenty-one (21) days of the invoice date via bank transfer to the designated account of Kyoto Precision Accounting &amp; Advisory Co., Ltd.</w:t>
      </w:r>
    </w:p>
    <w:p>
      <w:pPr>
        <w:numPr>
          <w:ilvl w:val="0"/>
          <w:numId w:val="1001"/>
        </w:numPr>
        <w:pStyle w:val="Compact"/>
      </w:pPr>
      <w:r>
        <w:rPr>
          <w:bCs/>
          <w:b/>
        </w:rPr>
        <w:t xml:space="preserve">Scope Changes:</w:t>
      </w:r>
      <w:r>
        <w:t xml:space="preserve"> </w:t>
      </w:r>
      <w:r>
        <w:t xml:space="preserve">Any additional Accountant services beyond the scope outlined in this Quotation Estimate shall be subject to a separate written amendment and additional fees at the rates specified herein.</w:t>
      </w:r>
    </w:p>
    <w:p>
      <w:pPr>
        <w:numPr>
          <w:ilvl w:val="0"/>
          <w:numId w:val="1001"/>
        </w:numPr>
        <w:pStyle w:val="Compact"/>
      </w:pPr>
      <w:r>
        <w:rPr>
          <w:bCs/>
          <w:b/>
        </w:rPr>
        <w:t xml:space="preserve">Confidentiality:</w:t>
      </w:r>
      <w:r>
        <w:t xml:space="preserve"> </w:t>
      </w:r>
      <w:r>
        <w:t xml:space="preserve">The Accountant and all supporting staff shall maintain strict confidentiality regarding all financial data, tax information, and business records of the client in accordance with Japanese data protection regulations.</w:t>
      </w:r>
    </w:p>
    <w:p>
      <w:pPr>
        <w:numPr>
          <w:ilvl w:val="0"/>
          <w:numId w:val="1001"/>
        </w:numPr>
        <w:pStyle w:val="Compact"/>
      </w:pPr>
      <w:r>
        <w:rPr>
          <w:bCs/>
          <w:b/>
        </w:rPr>
        <w:t xml:space="preserve">Liability:</w:t>
      </w:r>
      <w:r>
        <w:t xml:space="preserve"> </w:t>
      </w:r>
      <w:r>
        <w:t xml:space="preserve">The Accountant shall exercise reasonable professional care in the performance of services. Liability is limited to the total fees paid under this Quotation Estimate.</w:t>
      </w:r>
    </w:p>
    <w:p>
      <w:pPr>
        <w:numPr>
          <w:ilvl w:val="0"/>
          <w:numId w:val="1001"/>
        </w:numPr>
        <w:pStyle w:val="Compact"/>
      </w:pPr>
      <w:r>
        <w:rPr>
          <w:bCs/>
          <w:b/>
        </w:rPr>
        <w:t xml:space="preserve">Termination:</w:t>
      </w:r>
      <w:r>
        <w:t xml:space="preserve"> </w:t>
      </w:r>
      <w:r>
        <w:t xml:space="preserve">Either party may terminate the engagement with thirty (30) days written notice. Fees for services rendered up to the termination date shall remain payable.</w:t>
      </w:r>
    </w:p>
    <w:p>
      <w:pPr>
        <w:numPr>
          <w:ilvl w:val="0"/>
          <w:numId w:val="1001"/>
        </w:numPr>
        <w:pStyle w:val="Compact"/>
      </w:pPr>
      <w:r>
        <w:rPr>
          <w:bCs/>
          <w:b/>
        </w:rPr>
        <w:t xml:space="preserve">Governing Law:</w:t>
      </w:r>
      <w:r>
        <w:t xml:space="preserve"> </w:t>
      </w:r>
      <w:r>
        <w:t xml:space="preserve">This Quotation Estimate shall be governed by and construed in accordance with the laws of Japan, with jurisdiction vested in the Kyoto District Court.</w:t>
      </w:r>
    </w:p>
    <w:bookmarkEnd w:id="25"/>
    <w:bookmarkStart w:id="26" w:name="X84e210334481dabfeed2969ae049bc94e219054"/>
    <w:p>
      <w:pPr>
        <w:pStyle w:val="Heading2"/>
      </w:pPr>
      <w:r>
        <w:t xml:space="preserve">5. Additional Notes for Japan Kyoto Operations</w:t>
      </w:r>
    </w:p>
    <w:p>
      <w:pPr>
        <w:pStyle w:val="FirstParagraph"/>
      </w:pPr>
      <w:r>
        <w:t xml:space="preserve">All Accountant services under this Quotation Estimate will be performed by a licensed Certified Public Accountant (Kaikeishi) registered with the Japan Institute of Certified Public Accountants. The Accountant will maintain a dedicated office presence in Japan Kyoto to ensure timely in-person consultations, document collection, and direct communication with local tax authorities. All deliverables will be provided in both Japanese and English to accommodate the client's international operations. The Accountant will also provide guidance on any Japan Kyoto-specific municipal tax incentives, small business deductions, and regional economic development grants available to qualifying enterprises.</w:t>
      </w:r>
    </w:p>
    <w:bookmarkEnd w:id="26"/>
    <w:bookmarkStart w:id="27"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conditions, and fee structure outlined for the Accountant services in Japan Kyoto. This signature constitutes formal acceptance of the Quotation Estimate and authorizes the commencement of services.</w:t>
      </w:r>
    </w:p>
    <w:p>
      <w:pPr>
        <w:pStyle w:val="BodyText"/>
      </w:pPr>
      <w:r>
        <w:rPr>
          <w:bCs/>
          <w:b/>
        </w:rPr>
        <w:t xml:space="preserve">For Kyoto Precision Accounting &amp; Advisory Co., Ltd.</w:t>
      </w:r>
    </w:p>
    <w:p>
      <w:pPr>
        <w:pStyle w:val="BodyText"/>
      </w:pPr>
      <w:r>
        <w:t xml:space="preserve">Mr. Kenji Tanaka – Certified Public Accountant</w:t>
      </w:r>
      <w:r>
        <w:br/>
      </w:r>
      <w:r>
        <w:t xml:space="preserve">Date: _______________</w:t>
      </w:r>
    </w:p>
    <w:p>
      <w:pPr>
        <w:pStyle w:val="BodyText"/>
      </w:pPr>
      <w:r>
        <w:rPr>
          <w:bCs/>
          <w:b/>
        </w:rPr>
        <w:t xml:space="preserve">For the Client</w:t>
      </w:r>
    </w:p>
    <w:p>
      <w:pPr>
        <w:pStyle w:val="BodyText"/>
      </w:pPr>
      <w:r>
        <w:t xml:space="preserve">Name: _______________</w:t>
      </w:r>
      <w:r>
        <w:br/>
      </w:r>
      <w:r>
        <w:t xml:space="preserve">Title: _______________</w:t>
      </w:r>
      <w:r>
        <w:br/>
      </w:r>
      <w:r>
        <w:t xml:space="preserve">Date: _______________</w:t>
      </w:r>
    </w:p>
    <w:p>
      <w:pPr>
        <w:pStyle w:val="BodyText"/>
      </w:pPr>
      <w:r>
        <w:t xml:space="preserve">This Quotation Estimate document is the property of Kyoto Precision Accounting &amp; Advisory Co., Ltd. and is intended solely for the named client. Unauthorized reproduction or distribution is prohibited. Reference: QE-KYO-2025-0487 | Japan Kyoto | Accountant Services | Page 1 of 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Japan Kyoto</dc:title>
  <dc:creator/>
  <dc:language>en</dc:language>
  <cp:keywords/>
  <dcterms:created xsi:type="dcterms:W3CDTF">2026-10-10T09:17:16Z</dcterms:created>
  <dcterms:modified xsi:type="dcterms:W3CDTF">2026-10-10T09:17:16Z</dcterms:modified>
</cp:coreProperties>
</file>

<file path=docProps/custom.xml><?xml version="1.0" encoding="utf-8"?>
<Properties xmlns="http://schemas.openxmlformats.org/officeDocument/2006/custom-properties" xmlns:vt="http://schemas.openxmlformats.org/officeDocument/2006/docPropsVTypes"/>
</file>