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Accountant Services — Japan Tokyo</w:t>
      </w:r>
    </w:p>
    <w:p>
      <w:pPr>
        <w:pStyle w:val="BodyText"/>
      </w:pPr>
      <w:r>
        <w:t xml:space="preserve">Ref: QTE-TKY-2025-04872 | Document Type: Formal Quotation Estimate</w:t>
      </w:r>
    </w:p>
    <w:bookmarkEnd w:id="20"/>
    <w:p>
      <w:pPr>
        <w:pStyle w:val="BodyText"/>
      </w:pPr>
      <w:r>
        <w:rPr>
          <w:bCs/>
          <w:b/>
        </w:rPr>
        <w:t xml:space="preserve">Prepared By:</w:t>
      </w:r>
      <w:r>
        <w:br/>
      </w:r>
      <w:r>
        <w:t xml:space="preserve">Sakura Financial Accounting Group</w:t>
      </w:r>
      <w:r>
        <w:br/>
      </w:r>
      <w:r>
        <w:t xml:space="preserve">14F, Marunouchi Building, 2-7-1 Marunouchi</w:t>
      </w:r>
      <w:r>
        <w:br/>
      </w:r>
      <w:r>
        <w:t xml:space="preserve">Chiyoda-ku, Tokyo 100-0005, Japan</w:t>
      </w:r>
      <w:r>
        <w:br/>
      </w:r>
      <w:r>
        <w:t xml:space="preserve">Tel: +81-3-5210-8800</w:t>
      </w:r>
      <w:r>
        <w:br/>
      </w:r>
      <w:r>
        <w:t xml:space="preserve">Email: estimates@sakura-fa.co.jp</w:t>
      </w:r>
    </w:p>
    <w:p>
      <w:pPr>
        <w:pStyle w:val="BodyText"/>
      </w:pPr>
      <w:r>
        <w:rPr>
          <w:bCs/>
          <w:b/>
        </w:rPr>
        <w:t xml:space="preserve">Prepared For:</w:t>
      </w:r>
      <w:r>
        <w:br/>
      </w:r>
      <w:r>
        <w:t xml:space="preserve">[Client Company Name]</w:t>
      </w:r>
      <w:r>
        <w:br/>
      </w:r>
      <w:r>
        <w:t xml:space="preserve">[Client Address]</w:t>
      </w:r>
      <w:r>
        <w:br/>
      </w:r>
      <w:r>
        <w:t xml:space="preserve">Tokyo, Japan</w:t>
      </w:r>
      <w:r>
        <w:br/>
      </w:r>
      <w:r>
        <w:t xml:space="preserve">Contact: [Client Contact Person]</w:t>
      </w:r>
      <w:r>
        <w:br/>
      </w:r>
      <w:r>
        <w:t xml:space="preserve">Email: [client@email.com]</w:t>
      </w:r>
    </w:p>
    <w:p>
      <w:pPr>
        <w:pStyle w:val="BodyText"/>
      </w:pPr>
      <w:r>
        <w:rPr>
          <w:bCs/>
          <w:b/>
        </w:rPr>
        <w:t xml:space="preserve">Date Issued:</w:t>
      </w:r>
      <w:r>
        <w:br/>
      </w:r>
      <w:r>
        <w:t xml:space="preserve">June 15, 2025</w:t>
      </w:r>
      <w:r>
        <w:br/>
      </w:r>
      <w:r>
        <w:br/>
      </w:r>
      <w:r>
        <w:rPr>
          <w:bCs/>
          <w:b/>
        </w:rPr>
        <w:t xml:space="preserve">Valid Until:</w:t>
      </w:r>
      <w:r>
        <w:br/>
      </w:r>
      <w:r>
        <w:t xml:space="preserve">July 15, 2025</w:t>
      </w:r>
      <w:r>
        <w:br/>
      </w:r>
      <w:r>
        <w:br/>
      </w:r>
      <w:r>
        <w:rPr>
          <w:bCs/>
          <w:b/>
        </w:rPr>
        <w:t xml:space="preserve">Quotation No.:</w:t>
      </w:r>
      <w:r>
        <w:br/>
      </w:r>
      <w:r>
        <w:t xml:space="preserve">QTE-TKY-2025-04872</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Sakura Financial Accounting Group to provide a comprehensive and transparent breakdown of professional</w:t>
      </w:r>
      <w:r>
        <w:t xml:space="preserve"> </w:t>
      </w:r>
      <w:r>
        <w:t xml:space="preserve">Accountant</w:t>
      </w:r>
      <w:r>
        <w:t xml:space="preserve"> </w:t>
      </w:r>
      <w:r>
        <w:t xml:space="preserve">services to be delivered to the client within the metropolitan area of</w:t>
      </w:r>
      <w:r>
        <w:t xml:space="preserve"> </w:t>
      </w:r>
      <w:r>
        <w:t xml:space="preserve">Japan Tokyo</w:t>
      </w:r>
      <w:r>
        <w:t xml:space="preserve">. This document serves as a formal proposal outlining the scope of work, estimated fees, payment schedules, and applicable terms governing the engagement. All services described herein will be performed in strict compliance with the Japanese Certified Public Accountant (Kensanshi) regulations, the Accounting Standards of Japan (ASBJ), and the relevant provisions of the Japanese Tax Code as administered by the National Tax Agency in Tokyo.</w:t>
      </w:r>
    </w:p>
    <w:p>
      <w:pPr>
        <w:pStyle w:val="BodyText"/>
      </w:pPr>
      <w:r>
        <w:t xml:space="preserve">The</w:t>
      </w:r>
      <w:r>
        <w:t xml:space="preserve"> </w:t>
      </w:r>
      <w:r>
        <w:t xml:space="preserve">Accountant</w:t>
      </w:r>
      <w:r>
        <w:t xml:space="preserve"> </w:t>
      </w:r>
      <w:r>
        <w:t xml:space="preserve">engagement covers a full fiscal year (April 2025 through March 2026) and includes both statutory compliance obligations and advisory services tailored to the operational needs of the client's business registered in</w:t>
      </w:r>
      <w:r>
        <w:t xml:space="preserve"> </w:t>
      </w:r>
      <w:r>
        <w:t xml:space="preserve">Japan Tokyo</w:t>
      </w:r>
      <w:r>
        <w:t xml:space="preserve">. This</w:t>
      </w:r>
      <w:r>
        <w:t xml:space="preserve"> </w:t>
      </w:r>
      <w:r>
        <w:t xml:space="preserve">Quotation Estimate</w:t>
      </w:r>
      <w:r>
        <w:t xml:space="preserve"> </w:t>
      </w:r>
      <w:r>
        <w:t xml:space="preserve">reflects current market rates for qualified accounting professionals operating in the Tokyo metropolitan region and is based on the client's stated business profile, transaction volume, and regulatory requirements.</w:t>
      </w:r>
    </w:p>
    <w:p>
      <w:pPr>
        <w:pStyle w:val="BodyText"/>
      </w:pPr>
      <w:r>
        <w:t xml:space="preserve">2. Detailed Service Breakdown and Fee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Estimated Hours</w:t>
            </w:r>
          </w:p>
        </w:tc>
        <w:tc>
          <w:tcPr/>
          <w:p>
            <w:pPr>
              <w:pStyle w:val="Compact"/>
              <w:jc w:val="left"/>
            </w:pPr>
            <w:r>
              <w:t xml:space="preserve">Rate (JPY)</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Monthly bookkeeping and general ledger maintenance for the client's Tokyo office operations, including journal entries, accounts payable/receivable reconciliation, and bank statement verification.</w:t>
            </w:r>
          </w:p>
        </w:tc>
        <w:tc>
          <w:tcPr/>
          <w:p>
            <w:pPr>
              <w:pStyle w:val="Compact"/>
              <w:jc w:val="left"/>
            </w:pPr>
            <w:r>
              <w:t xml:space="preserve">Monthly (12x)</w:t>
            </w:r>
          </w:p>
        </w:tc>
        <w:tc>
          <w:tcPr/>
          <w:p>
            <w:pPr>
              <w:pStyle w:val="Compact"/>
              <w:jc w:val="left"/>
            </w:pPr>
            <w:r>
              <w:t xml:space="preserve">16 hrs/month</w:t>
            </w:r>
          </w:p>
        </w:tc>
        <w:tc>
          <w:tcPr/>
          <w:p>
            <w:pPr>
              <w:pStyle w:val="Compact"/>
              <w:jc w:val="left"/>
            </w:pPr>
            <w:r>
              <w:t xml:space="preserve">¥12,000/hr</w:t>
            </w:r>
          </w:p>
        </w:tc>
        <w:tc>
          <w:tcPr/>
          <w:p>
            <w:pPr>
              <w:pStyle w:val="Compact"/>
              <w:jc w:val="left"/>
            </w:pPr>
            <w:r>
              <w:t xml:space="preserve">¥2,304,000</w:t>
            </w:r>
          </w:p>
        </w:tc>
      </w:tr>
      <w:tr>
        <w:tc>
          <w:tcPr/>
          <w:p>
            <w:pPr>
              <w:pStyle w:val="Compact"/>
              <w:jc w:val="left"/>
            </w:pPr>
            <w:r>
              <w:t xml:space="preserve">2</w:t>
            </w:r>
          </w:p>
        </w:tc>
        <w:tc>
          <w:tcPr/>
          <w:p>
            <w:pPr>
              <w:pStyle w:val="Compact"/>
              <w:jc w:val="left"/>
            </w:pPr>
            <w:r>
              <w:t xml:space="preserve">Preparation and filing of quarterly consumption tax (JCT) returns with the Tokyo Regional Tax Office, including detailed tax computation and advisory on input tax credits.</w:t>
            </w:r>
          </w:p>
        </w:tc>
        <w:tc>
          <w:tcPr/>
          <w:p>
            <w:pPr>
              <w:pStyle w:val="Compact"/>
              <w:jc w:val="left"/>
            </w:pPr>
            <w:r>
              <w:t xml:space="preserve">Quarterly (4x)</w:t>
            </w:r>
          </w:p>
        </w:tc>
        <w:tc>
          <w:tcPr/>
          <w:p>
            <w:pPr>
              <w:pStyle w:val="Compact"/>
              <w:jc w:val="left"/>
            </w:pPr>
            <w:r>
              <w:t xml:space="preserve">12 hrs/quarter</w:t>
            </w:r>
          </w:p>
        </w:tc>
        <w:tc>
          <w:tcPr/>
          <w:p>
            <w:pPr>
              <w:pStyle w:val="Compact"/>
              <w:jc w:val="left"/>
            </w:pPr>
            <w:r>
              <w:t xml:space="preserve">¥14,000/hr</w:t>
            </w:r>
          </w:p>
        </w:tc>
        <w:tc>
          <w:tcPr/>
          <w:p>
            <w:pPr>
              <w:pStyle w:val="Compact"/>
              <w:jc w:val="left"/>
            </w:pPr>
            <w:r>
              <w:t xml:space="preserve">¥672,000</w:t>
            </w:r>
          </w:p>
        </w:tc>
      </w:tr>
      <w:tr>
        <w:tc>
          <w:tcPr/>
          <w:p>
            <w:pPr>
              <w:pStyle w:val="Compact"/>
              <w:jc w:val="left"/>
            </w:pPr>
            <w:r>
              <w:t xml:space="preserve">3</w:t>
            </w:r>
          </w:p>
        </w:tc>
        <w:tc>
          <w:tcPr/>
          <w:p>
            <w:pPr>
              <w:pStyle w:val="Compact"/>
              <w:jc w:val="left"/>
            </w:pPr>
            <w:r>
              <w:t xml:space="preserve">Annual statutory financial statement preparation (Balance Sheet, Income Statement, Statement of Changes in Equity) in accordance with Japanese GAAP and ASBJ standards, including auditor liaison.</w:t>
            </w:r>
          </w:p>
        </w:tc>
        <w:tc>
          <w:tcPr/>
          <w:p>
            <w:pPr>
              <w:pStyle w:val="Compact"/>
              <w:jc w:val="left"/>
            </w:pPr>
            <w:r>
              <w:t xml:space="preserve">Annual (1x)</w:t>
            </w:r>
          </w:p>
        </w:tc>
        <w:tc>
          <w:tcPr/>
          <w:p>
            <w:pPr>
              <w:pStyle w:val="Compact"/>
              <w:jc w:val="left"/>
            </w:pPr>
            <w:r>
              <w:t xml:space="preserve">40 hrs</w:t>
            </w:r>
          </w:p>
        </w:tc>
        <w:tc>
          <w:tcPr/>
          <w:p>
            <w:pPr>
              <w:pStyle w:val="Compact"/>
              <w:jc w:val="left"/>
            </w:pPr>
            <w:r>
              <w:t xml:space="preserve">¥15,000/hr</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Annual corporate income tax return preparation and filing (Kessan Tokutei) with the National Tax Agency, Tokyo Regional Office, including tax planning and loss carryforward analysis.</w:t>
            </w:r>
          </w:p>
        </w:tc>
        <w:tc>
          <w:tcPr/>
          <w:p>
            <w:pPr>
              <w:pStyle w:val="Compact"/>
              <w:jc w:val="left"/>
            </w:pPr>
            <w:r>
              <w:t xml:space="preserve">Annual (1x)</w:t>
            </w:r>
          </w:p>
        </w:tc>
        <w:tc>
          <w:tcPr/>
          <w:p>
            <w:pPr>
              <w:pStyle w:val="Compact"/>
              <w:jc w:val="left"/>
            </w:pPr>
            <w:r>
              <w:t xml:space="preserve">30 hrs</w:t>
            </w:r>
          </w:p>
        </w:tc>
        <w:tc>
          <w:tcPr/>
          <w:p>
            <w:pPr>
              <w:pStyle w:val="Compact"/>
              <w:jc w:val="left"/>
            </w:pPr>
            <w:r>
              <w:t xml:space="preserve">¥15,000/hr</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Monthly payroll processing and social insurance (Shakai Hoken) filings for up to 50 employees, including withholding tax calculations and year-end tax adjustment (Nenmatsu Chosei).</w:t>
            </w:r>
          </w:p>
        </w:tc>
        <w:tc>
          <w:tcPr/>
          <w:p>
            <w:pPr>
              <w:pStyle w:val="Compact"/>
              <w:jc w:val="left"/>
            </w:pPr>
            <w:r>
              <w:t xml:space="preserve">Monthly (12x)</w:t>
            </w:r>
          </w:p>
        </w:tc>
        <w:tc>
          <w:tcPr/>
          <w:p>
            <w:pPr>
              <w:pStyle w:val="Compact"/>
              <w:jc w:val="left"/>
            </w:pPr>
            <w:r>
              <w:t xml:space="preserve">8 hrs/month</w:t>
            </w:r>
          </w:p>
        </w:tc>
        <w:tc>
          <w:tcPr/>
          <w:p>
            <w:pPr>
              <w:pStyle w:val="Compact"/>
              <w:jc w:val="left"/>
            </w:pPr>
            <w:r>
              <w:t xml:space="preserve">¥10,000/hr</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Advisory and consultation services for the client's management team in Tokyo, covering financial analysis, budgeting support, cash flow forecasting, and regulatory compliance guidance specific to Japan Tokyo business operations.</w:t>
            </w:r>
          </w:p>
        </w:tc>
        <w:tc>
          <w:tcPr/>
          <w:p>
            <w:pPr>
              <w:pStyle w:val="Compact"/>
              <w:jc w:val="left"/>
            </w:pPr>
            <w:r>
              <w:t xml:space="preserve">As needed (est. 6 sessions)</w:t>
            </w:r>
          </w:p>
        </w:tc>
        <w:tc>
          <w:tcPr/>
          <w:p>
            <w:pPr>
              <w:pStyle w:val="Compact"/>
              <w:jc w:val="left"/>
            </w:pPr>
            <w:r>
              <w:t xml:space="preserve">3 hrs/session</w:t>
            </w:r>
          </w:p>
        </w:tc>
        <w:tc>
          <w:tcPr/>
          <w:p>
            <w:pPr>
              <w:pStyle w:val="Compact"/>
              <w:jc w:val="left"/>
            </w:pPr>
            <w:r>
              <w:t xml:space="preserve">¥18,000/hr</w:t>
            </w:r>
          </w:p>
        </w:tc>
        <w:tc>
          <w:tcPr/>
          <w:p>
            <w:pPr>
              <w:pStyle w:val="Compact"/>
              <w:jc w:val="left"/>
            </w:pPr>
            <w:r>
              <w:t xml:space="preserve">¥324,000</w:t>
            </w:r>
          </w:p>
        </w:tc>
      </w:tr>
      <w:tr>
        <w:tc>
          <w:tcPr/>
          <w:p>
            <w:pPr>
              <w:pStyle w:val="Compact"/>
              <w:jc w:val="left"/>
            </w:pPr>
            <w:r>
              <w:t xml:space="preserve">7</w:t>
            </w:r>
          </w:p>
        </w:tc>
        <w:tc>
          <w:tcPr/>
          <w:p>
            <w:pPr>
              <w:pStyle w:val="Compact"/>
              <w:jc w:val="left"/>
            </w:pPr>
            <w:r>
              <w:t xml:space="preserve">Annual audit support and coordination with the external statutory auditor, including provision of workpapers, management representation letters, and post-audit adjustments.</w:t>
            </w:r>
          </w:p>
        </w:tc>
        <w:tc>
          <w:tcPr/>
          <w:p>
            <w:pPr>
              <w:pStyle w:val="Compact"/>
              <w:jc w:val="left"/>
            </w:pPr>
            <w:r>
              <w:t xml:space="preserve">Annual (1x)</w:t>
            </w:r>
          </w:p>
        </w:tc>
        <w:tc>
          <w:tcPr/>
          <w:p>
            <w:pPr>
              <w:pStyle w:val="Compact"/>
              <w:jc w:val="left"/>
            </w:pPr>
            <w:r>
              <w:t xml:space="preserve">20 hrs</w:t>
            </w:r>
          </w:p>
        </w:tc>
        <w:tc>
          <w:tcPr/>
          <w:p>
            <w:pPr>
              <w:pStyle w:val="Compact"/>
              <w:jc w:val="left"/>
            </w:pPr>
            <w:r>
              <w:t xml:space="preserve">¥13,000/hr</w:t>
            </w:r>
          </w:p>
        </w:tc>
        <w:tc>
          <w:tcPr/>
          <w:p>
            <w:pPr>
              <w:pStyle w:val="Compact"/>
              <w:jc w:val="left"/>
            </w:pPr>
            <w:r>
              <w:t xml:space="preserve">¥260,000</w:t>
            </w:r>
          </w:p>
        </w:tc>
      </w:tr>
      <w:tr>
        <w:tc>
          <w:tcPr/>
          <w:p>
            <w:pPr>
              <w:pStyle w:val="Compact"/>
              <w:jc w:val="left"/>
            </w:pPr>
            <w:r>
              <w:t xml:space="preserve">8</w:t>
            </w:r>
          </w:p>
        </w:tc>
        <w:tc>
          <w:tcPr/>
          <w:p>
            <w:pPr>
              <w:pStyle w:val="Compact"/>
              <w:jc w:val="left"/>
            </w:pPr>
            <w:r>
              <w:t xml:space="preserve">Registration and compliance support for the client's business entity with the Tokyo Metropolitan Government, including annual business license renewals and local tax filings (Chōzei).</w:t>
            </w:r>
          </w:p>
        </w:tc>
        <w:tc>
          <w:tcPr/>
          <w:p>
            <w:pPr>
              <w:pStyle w:val="Compact"/>
              <w:jc w:val="left"/>
            </w:pPr>
            <w:r>
              <w:t xml:space="preserve">Annual (1x)</w:t>
            </w:r>
          </w:p>
        </w:tc>
        <w:tc>
          <w:tcPr/>
          <w:p>
            <w:pPr>
              <w:pStyle w:val="Compact"/>
              <w:jc w:val="left"/>
            </w:pPr>
            <w:r>
              <w:t xml:space="preserve">6 hrs</w:t>
            </w:r>
          </w:p>
        </w:tc>
        <w:tc>
          <w:tcPr/>
          <w:p>
            <w:pPr>
              <w:pStyle w:val="Compact"/>
              <w:jc w:val="left"/>
            </w:pPr>
            <w:r>
              <w:t xml:space="preserve">¥12,000/hr</w:t>
            </w:r>
          </w:p>
        </w:tc>
        <w:tc>
          <w:tcPr/>
          <w:p>
            <w:pPr>
              <w:pStyle w:val="Compact"/>
              <w:jc w:val="left"/>
            </w:pPr>
            <w:r>
              <w:t xml:space="preserve">¥72,000</w:t>
            </w:r>
          </w:p>
        </w:tc>
      </w:tr>
    </w:tbl>
    <w:p>
      <w:pPr>
        <w:pStyle w:val="BodyText"/>
      </w:pPr>
      <w:r>
        <w:t xml:space="preserve">3. Fee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Total Professional Fees (Subtotal)</w:t>
            </w:r>
          </w:p>
        </w:tc>
        <w:tc>
          <w:tcPr/>
          <w:p>
            <w:pPr>
              <w:pStyle w:val="Compact"/>
              <w:jc w:val="right"/>
            </w:pPr>
            <w:r>
              <w:t xml:space="preserve">¥5,642,000</w:t>
            </w:r>
          </w:p>
        </w:tc>
      </w:tr>
      <w:tr>
        <w:tc>
          <w:tcPr/>
          <w:p>
            <w:pPr>
              <w:pStyle w:val="Compact"/>
              <w:jc w:val="left"/>
            </w:pPr>
            <w:r>
              <w:t xml:space="preserve">Consumption Tax (10%)</w:t>
            </w:r>
          </w:p>
        </w:tc>
        <w:tc>
          <w:tcPr/>
          <w:p>
            <w:pPr>
              <w:pStyle w:val="Compact"/>
              <w:jc w:val="right"/>
            </w:pPr>
            <w:r>
              <w:t xml:space="preserve">¥564,200</w:t>
            </w:r>
          </w:p>
        </w:tc>
      </w:tr>
      <w:tr>
        <w:tc>
          <w:tcPr/>
          <w:p>
            <w:pPr>
              <w:pStyle w:val="Compact"/>
              <w:jc w:val="left"/>
            </w:pPr>
            <w:r>
              <w:t xml:space="preserve">Grand Total (Tax Inclusive)</w:t>
            </w:r>
          </w:p>
        </w:tc>
        <w:tc>
          <w:tcPr/>
          <w:p>
            <w:pPr>
              <w:pStyle w:val="Compact"/>
              <w:jc w:val="right"/>
            </w:pPr>
            <w:r>
              <w:t xml:space="preserve">¥6,206,200</w:t>
            </w:r>
          </w:p>
        </w:tc>
      </w:tr>
      <w:tr>
        <w:tc>
          <w:tcPr>
            <w:gridSpan w:val="2"/>
          </w:tcPr>
          <w:p>
            <w:pPr>
              <w:pStyle w:val="Compact"/>
              <w:jc w:val="left"/>
            </w:pPr>
            <w:r>
              <w:t xml:space="preserve">All amounts are denominated in Japanese Yen (JPY). This Quotation Estimate is valid for 30 calendar days from the date of issue.</w:t>
            </w:r>
          </w:p>
        </w:tc>
      </w:tr>
    </w:tbl>
    <w:p>
      <w:pPr>
        <w:pStyle w:val="BodyText"/>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days from the date of issuance. Upon expiration, fees may be subject to revision based on prevailing market conditions in Japan Tokyo.</w:t>
      </w:r>
    </w:p>
    <w:p>
      <w:pPr>
        <w:numPr>
          <w:ilvl w:val="0"/>
          <w:numId w:val="1001"/>
        </w:numPr>
        <w:pStyle w:val="Compact"/>
      </w:pPr>
      <w:r>
        <w:rPr>
          <w:bCs/>
          <w:b/>
        </w:rPr>
        <w:t xml:space="preserve">Payment Terms:</w:t>
      </w:r>
      <w:r>
        <w:t xml:space="preserve"> </w:t>
      </w:r>
      <w:r>
        <w:t xml:space="preserve">Invoices will be issued monthly in arrears. Payment is due within thirty (30) days of the invoice date via bank transfer to the designated account at a financial institution in Tokyo, Japan. Late payments will incur a penalty of 1.5% per month as stipulated under Japanese commercial law.</w:t>
      </w:r>
    </w:p>
    <w:p>
      <w:pPr>
        <w:numPr>
          <w:ilvl w:val="0"/>
          <w:numId w:val="1001"/>
        </w:numPr>
        <w:pStyle w:val="Compact"/>
      </w:pPr>
      <w:r>
        <w:rPr>
          <w:bCs/>
          <w:b/>
        </w:rPr>
        <w:t xml:space="preserve">Scope Limitations:</w:t>
      </w:r>
      <w:r>
        <w:t xml:space="preserve"> </w:t>
      </w:r>
      <w:r>
        <w:t xml:space="preserve">This Quotation Estimate covers the services explicitly listed in Section 2. Any additional services, such as tax audit defense, litigation support, or services for subsidiaries outside of Japan Tokyo, will be subject to a separate supplementary quotation.</w:t>
      </w:r>
    </w:p>
    <w:p>
      <w:pPr>
        <w:numPr>
          <w:ilvl w:val="0"/>
          <w:numId w:val="1001"/>
        </w:numPr>
        <w:pStyle w:val="Compact"/>
      </w:pPr>
      <w:r>
        <w:rPr>
          <w:bCs/>
          <w:b/>
        </w:rPr>
        <w:t xml:space="preserve">Confidentiality:</w:t>
      </w:r>
      <w:r>
        <w:t xml:space="preserve"> </w:t>
      </w:r>
      <w:r>
        <w:t xml:space="preserve">The Accountant and all supporting staff engaged by Sakura Financial Accounting Group shall maintain strict confidentiality of all financial data, trade secrets, and proprietary information of the client in accordance with the Japanese Certified Public Accountants Act and applicable data protection regulations.</w:t>
      </w:r>
    </w:p>
    <w:p>
      <w:pPr>
        <w:numPr>
          <w:ilvl w:val="0"/>
          <w:numId w:val="1001"/>
        </w:numPr>
        <w:pStyle w:val="Compact"/>
      </w:pPr>
      <w:r>
        <w:rPr>
          <w:bCs/>
          <w:b/>
        </w:rPr>
        <w:t xml:space="preserve">Liability:</w:t>
      </w:r>
      <w:r>
        <w:t xml:space="preserve"> </w:t>
      </w:r>
      <w:r>
        <w:t xml:space="preserve">The Accountant's liability under this engagement shall be limited to the total fees paid by the client for the fiscal year in question, except in cases of gross negligence or willful misconduct.</w:t>
      </w:r>
    </w:p>
    <w:p>
      <w:pPr>
        <w:numPr>
          <w:ilvl w:val="0"/>
          <w:numId w:val="1001"/>
        </w:numPr>
        <w:pStyle w:val="Compact"/>
      </w:pPr>
      <w:r>
        <w:rPr>
          <w:bCs/>
          <w:b/>
        </w:rPr>
        <w:t xml:space="preserve">Termination:</w:t>
      </w:r>
      <w:r>
        <w:t xml:space="preserve"> </w:t>
      </w:r>
      <w:r>
        <w:t xml:space="preserve">Either party may terminate this engagement with sixty (60) days written notice. Upon termination, the client shall pay for all services rendered up to the effective date of termination.</w:t>
      </w:r>
    </w:p>
    <w:p>
      <w:pPr>
        <w:numPr>
          <w:ilvl w:val="0"/>
          <w:numId w:val="1001"/>
        </w:numPr>
        <w:pStyle w:val="Compact"/>
      </w:pPr>
      <w:r>
        <w:rPr>
          <w:bCs/>
          <w:b/>
        </w:rPr>
        <w:t xml:space="preserve">Governing Law:</w:t>
      </w:r>
      <w:r>
        <w:t xml:space="preserve"> </w:t>
      </w:r>
      <w:r>
        <w:t xml:space="preserve">This Quotation Estimate and the resulting engagement shall be governed by and construed in accordance with the laws of Japan. Any disputes shall be resolved through the Tokyo District Court or by arbitration under the Japan Arbitration Association (JAA) in Tokyo.</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(typhoons, earthquakes common to the Japan Tokyo region), government-mandated closures, or pandemics.</w:t>
      </w:r>
    </w:p>
    <w:p>
      <w:pPr>
        <w:pStyle w:val="FirstParagraph"/>
      </w:pPr>
      <w:r>
        <w:t xml:space="preserve">5. Acceptance and Authorization</w:t>
      </w:r>
    </w:p>
    <w:p>
      <w:pPr>
        <w:pStyle w:val="BodyText"/>
      </w:pPr>
      <w:r>
        <w:t xml:space="preserve">By signing below, the client acknowledges receipt of this Quotation Estimate and agrees to the terms, conditions, and fee schedule outlined herein for the engagement of professional Accountant services in Japan Tokyo. This signature constitutes a binding acceptance of the proposed engagement.</w:t>
      </w:r>
    </w:p>
    <w:p>
      <w:pPr>
        <w:pStyle w:val="BodyText"/>
      </w:pPr>
      <w:r>
        <w:rPr>
          <w:bCs/>
          <w:b/>
        </w:rPr>
        <w:t xml:space="preserve">For Sakura Financial Accounting Group</w:t>
      </w:r>
    </w:p>
    <w:p>
      <w:pPr>
        <w:pStyle w:val="BodyText"/>
      </w:pPr>
      <w:r>
        <w:t xml:space="preserve">Name: Kenji Tanaka, CPA (Kensanshi)</w:t>
      </w:r>
      <w:r>
        <w:br/>
      </w:r>
      <w:r>
        <w:t xml:space="preserve">Title: Senior Accountant / Engagement Partner</w:t>
      </w:r>
      <w:r>
        <w:br/>
      </w:r>
      <w:r>
        <w:t xml:space="preserve">Date: 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Sakura Financial Accounting Group | 14F, Marunouchi Building, 2-7-1 Marunouchi, Chiyoda-ku, Tokyo 100-0005, Japan</w:t>
      </w:r>
    </w:p>
    <w:p>
      <w:pPr>
        <w:pStyle w:val="BodyText"/>
      </w:pPr>
      <w:r>
        <w:t xml:space="preserve">Quotation Estimate Ref: QTE-TKY-2025-04872 | This document is confidential and intended solely for the named recipient.</w:t>
      </w:r>
    </w:p>
    <w:p>
      <w:pPr>
        <w:pStyle w:val="BodyText"/>
      </w:pPr>
      <w:r>
        <w:t xml:space="preserve">© 2025 Sakura Financial Accounting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Japan Tokyo</dc:title>
  <dc:creator/>
  <dc:language>en</dc:language>
  <cp:keywords/>
  <dcterms:created xsi:type="dcterms:W3CDTF">2026-10-10T08:35:49Z</dcterms:created>
  <dcterms:modified xsi:type="dcterms:W3CDTF">2026-10-10T08:35:49Z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