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Accountant</w:t>
      </w:r>
      <w:r>
        <w:t xml:space="preserve"> </w:t>
      </w:r>
      <w:r>
        <w:t xml:space="preserve">Services</w:t>
      </w:r>
      <w:r>
        <w:t xml:space="preserve"> </w:t>
      </w:r>
      <w:r>
        <w:t xml:space="preserve">-</w:t>
      </w:r>
      <w:r>
        <w:t xml:space="preserve"> </w:t>
      </w:r>
      <w:r>
        <w:t xml:space="preserve">Kazakhstan</w:t>
      </w:r>
      <w:r>
        <w:t xml:space="preserve"> </w:t>
      </w:r>
      <w:r>
        <w:t xml:space="preserve">Almaty</w:t>
      </w:r>
    </w:p>
    <w:bookmarkStart w:id="20" w:name="quotation-estimate"/>
    <w:p>
      <w:pPr>
        <w:pStyle w:val="Heading1"/>
      </w:pPr>
      <w:r>
        <w:t xml:space="preserve">QUOTATION ESTIMATE</w:t>
      </w:r>
    </w:p>
    <w:p>
      <w:pPr>
        <w:pStyle w:val="FirstParagraph"/>
      </w:pPr>
      <w:r>
        <w:t xml:space="preserve">Professional Accountant Services — Kazakhstan Almaty</w:t>
      </w:r>
    </w:p>
    <w:p>
      <w:pPr>
        <w:pStyle w:val="BodyText"/>
      </w:pPr>
      <w:r>
        <w:t xml:space="preserve">Ref: QE-ALM-2025-0472 | Valid Until: 30 June 2025</w:t>
      </w:r>
    </w:p>
    <w:bookmarkEnd w:id="20"/>
    <w:p>
      <w:pPr>
        <w:pStyle w:val="BodyText"/>
      </w:pPr>
      <w:r>
        <w:rPr>
          <w:bCs/>
          <w:b/>
        </w:rPr>
        <w:t xml:space="preserve">Prepared By:</w:t>
      </w:r>
      <w:r>
        <w:br/>
      </w:r>
      <w:r>
        <w:t xml:space="preserve">Almaty Financial Advisory Group LLP</w:t>
      </w:r>
      <w:r>
        <w:br/>
      </w:r>
      <w:r>
        <w:t xml:space="preserve">45 Abai Avenue, Office 12</w:t>
      </w:r>
      <w:r>
        <w:br/>
      </w:r>
      <w:r>
        <w:t xml:space="preserve">Almaty, 050040, Kazakhstan</w:t>
      </w:r>
      <w:r>
        <w:br/>
      </w:r>
      <w:r>
        <w:t xml:space="preserve">Tel: +7 (727) 312-4567</w:t>
      </w:r>
      <w:r>
        <w:br/>
      </w:r>
      <w:r>
        <w:t xml:space="preserve">Email: quotes@afag-kz.com</w:t>
      </w:r>
    </w:p>
    <w:p>
      <w:pPr>
        <w:pStyle w:val="BodyText"/>
      </w:pPr>
      <w:r>
        <w:rPr>
          <w:bCs/>
          <w:b/>
        </w:rPr>
        <w:t xml:space="preserve">Prepared For:</w:t>
      </w:r>
      <w:r>
        <w:br/>
      </w:r>
      <w:r>
        <w:t xml:space="preserve">[Client Company Name]</w:t>
      </w:r>
      <w:r>
        <w:br/>
      </w:r>
      <w:r>
        <w:t xml:space="preserve">[Client Address]</w:t>
      </w:r>
      <w:r>
        <w:br/>
      </w:r>
      <w:r>
        <w:t xml:space="preserve">Almaty, Kazakhstan</w:t>
      </w:r>
      <w:r>
        <w:br/>
      </w:r>
      <w:r>
        <w:t xml:space="preserve">Contact: [Client Contact Person]</w:t>
      </w:r>
      <w:r>
        <w:br/>
      </w:r>
      <w:r>
        <w:t xml:space="preserve">Email: [Client Email]</w:t>
      </w:r>
    </w:p>
    <w:bookmarkStart w:id="21" w:name="purpose-of-this-quotation-estimate"/>
    <w:p>
      <w:pPr>
        <w:pStyle w:val="Heading2"/>
      </w:pPr>
      <w:r>
        <w:t xml:space="preserve">1. Purpose of This Quotation Estimate</w:t>
      </w:r>
    </w:p>
    <w:p>
      <w:pPr>
        <w:pStyle w:val="FirstParagraph"/>
      </w:pPr>
      <w:r>
        <w:t xml:space="preserve">This Quotation Estimate has been prepared by Almaty Financial Advisory Group LLP to provide a comprehensive and transparent cost breakdown for the engagement of a qualified Accountant to serve the financial, tax, and reporting needs of your organisation in Kazakhstan Almaty. This document outlines the scope of services, applicable fees, payment terms, and conditions under which our Accountant will be deployed to support your business operations. All figures presented in this Quotation Estimate are quoted in Kazakhstani Tenge (KZT) unless otherwise stated and are subject to the terms and conditions detailed herein.</w:t>
      </w:r>
    </w:p>
    <w:bookmarkEnd w:id="21"/>
    <w:bookmarkStart w:id="22" w:name="scope-of-accountant-services"/>
    <w:p>
      <w:pPr>
        <w:pStyle w:val="Heading2"/>
      </w:pPr>
      <w:r>
        <w:t xml:space="preserve">2. Scope of Accountant Services</w:t>
      </w:r>
    </w:p>
    <w:p>
      <w:pPr>
        <w:pStyle w:val="FirstParagraph"/>
      </w:pPr>
      <w:r>
        <w:t xml:space="preserve">The Accountant engaged under this Quotation Estimate will deliver the following professional services tailored to the regulatory and commercial environment of Kazakhstan Almaty:</w:t>
      </w:r>
    </w:p>
    <w:p>
      <w:pPr>
        <w:numPr>
          <w:ilvl w:val="0"/>
          <w:numId w:val="1001"/>
        </w:numPr>
        <w:pStyle w:val="Compact"/>
      </w:pPr>
      <w:r>
        <w:t xml:space="preserve">Monthly preparation and maintenance of general ledgers, trial balances, and financial statements in compliance with IFRS and the Accounting Law of the Republic of Kazakhstan.</w:t>
      </w:r>
    </w:p>
    <w:p>
      <w:pPr>
        <w:numPr>
          <w:ilvl w:val="0"/>
          <w:numId w:val="1001"/>
        </w:numPr>
        <w:pStyle w:val="Compact"/>
      </w:pPr>
      <w:r>
        <w:t xml:space="preserve">Preparation and filing of all mandatory tax returns, including corporate income tax, VAT (16%), social security contributions, and local taxes as required by the Committee of Income Policy of the Ministry of Finance of Kazakhstan.</w:t>
      </w:r>
    </w:p>
    <w:p>
      <w:pPr>
        <w:numPr>
          <w:ilvl w:val="0"/>
          <w:numId w:val="1001"/>
        </w:numPr>
        <w:pStyle w:val="Compact"/>
      </w:pPr>
      <w:r>
        <w:t xml:space="preserve">Management of payroll accounting for up to 50 employees, including calculation of personal income tax (10%), social security contributions (10%), and mandatory pension contributions (10% employer / 10% employee).</w:t>
      </w:r>
    </w:p>
    <w:p>
      <w:pPr>
        <w:numPr>
          <w:ilvl w:val="0"/>
          <w:numId w:val="1001"/>
        </w:numPr>
        <w:pStyle w:val="Compact"/>
      </w:pPr>
      <w:r>
        <w:t xml:space="preserve">Reconciliation of bank accounts, accounts receivable, and accounts payable on a monthly basis.</w:t>
      </w:r>
    </w:p>
    <w:p>
      <w:pPr>
        <w:numPr>
          <w:ilvl w:val="0"/>
          <w:numId w:val="1001"/>
        </w:numPr>
        <w:pStyle w:val="Compact"/>
      </w:pPr>
      <w:r>
        <w:t xml:space="preserve">Preparation of quarterly and annual financial reports for submission to the State Revenue Committee and the relevant business registration authorities in Almaty.</w:t>
      </w:r>
    </w:p>
    <w:p>
      <w:pPr>
        <w:numPr>
          <w:ilvl w:val="0"/>
          <w:numId w:val="1001"/>
        </w:numPr>
        <w:pStyle w:val="Compact"/>
      </w:pPr>
      <w:r>
        <w:t xml:space="preserve">Advisory support on transfer pricing documentation, intercompany transactions, and cross-border tax implications relevant to operations in Kazakhstan Almaty.</w:t>
      </w:r>
    </w:p>
    <w:p>
      <w:pPr>
        <w:numPr>
          <w:ilvl w:val="0"/>
          <w:numId w:val="1001"/>
        </w:numPr>
        <w:pStyle w:val="Compact"/>
      </w:pPr>
      <w:r>
        <w:t xml:space="preserve">Assistance with audit preparation, including provision of schedules, workpapers, and responses to auditor queries.</w:t>
      </w:r>
    </w:p>
    <w:p>
      <w:pPr>
        <w:numPr>
          <w:ilvl w:val="0"/>
          <w:numId w:val="1001"/>
        </w:numPr>
        <w:pStyle w:val="Compact"/>
      </w:pPr>
      <w:r>
        <w:t xml:space="preserve">Management of fixed asset registers, depreciation schedules, and impairment testing in accordance with Kazakhstani accounting standards.</w:t>
      </w:r>
    </w:p>
    <w:bookmarkEnd w:id="22"/>
    <w:bookmarkStart w:id="23" w:name="fee-structure-cost-breakdown"/>
    <w:p>
      <w:pPr>
        <w:pStyle w:val="Heading2"/>
      </w:pPr>
      <w:r>
        <w:t xml:space="preserve">3. Fee Structure &amp;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Item</w:t>
            </w:r>
          </w:p>
        </w:tc>
        <w:tc>
          <w:tcPr/>
          <w:p>
            <w:pPr>
              <w:pStyle w:val="Compact"/>
              <w:jc w:val="left"/>
            </w:pPr>
            <w:r>
              <w:t xml:space="preserve">Frequency</w:t>
            </w:r>
          </w:p>
        </w:tc>
        <w:tc>
          <w:tcPr/>
          <w:p>
            <w:pPr>
              <w:pStyle w:val="Compact"/>
              <w:jc w:val="left"/>
            </w:pPr>
            <w:r>
              <w:t xml:space="preserve">Unit Cost (KZT)</w:t>
            </w:r>
          </w:p>
        </w:tc>
        <w:tc>
          <w:tcPr/>
          <w:p>
            <w:pPr>
              <w:pStyle w:val="Compact"/>
              <w:jc w:val="left"/>
            </w:pPr>
            <w:r>
              <w:t xml:space="preserve">Annual Cost (KZT)</w:t>
            </w:r>
          </w:p>
        </w:tc>
      </w:tr>
      <w:tr>
        <w:tc>
          <w:tcPr/>
          <w:p>
            <w:pPr>
              <w:pStyle w:val="Compact"/>
              <w:jc w:val="left"/>
            </w:pPr>
            <w:r>
              <w:t xml:space="preserve">Monthly Bookkeeping &amp; General Ledger Maintenance</w:t>
            </w:r>
          </w:p>
        </w:tc>
        <w:tc>
          <w:tcPr/>
          <w:p>
            <w:pPr>
              <w:pStyle w:val="Compact"/>
              <w:jc w:val="left"/>
            </w:pPr>
            <w:r>
              <w:t xml:space="preserve">Monthly</w:t>
            </w:r>
          </w:p>
        </w:tc>
        <w:tc>
          <w:tcPr/>
          <w:p>
            <w:pPr>
              <w:pStyle w:val="Compact"/>
              <w:jc w:val="left"/>
            </w:pPr>
            <w:r>
              <w:t xml:space="preserve">280,000</w:t>
            </w:r>
          </w:p>
        </w:tc>
        <w:tc>
          <w:tcPr/>
          <w:p>
            <w:pPr>
              <w:pStyle w:val="Compact"/>
              <w:jc w:val="left"/>
            </w:pPr>
            <w:r>
              <w:t xml:space="preserve">3,360,000</w:t>
            </w:r>
          </w:p>
        </w:tc>
      </w:tr>
      <w:tr>
        <w:tc>
          <w:tcPr/>
          <w:p>
            <w:pPr>
              <w:pStyle w:val="Compact"/>
              <w:jc w:val="left"/>
            </w:pPr>
            <w:r>
              <w:t xml:space="preserve">Tax Return Preparation &amp; Filing (all applicable taxes)</w:t>
            </w:r>
          </w:p>
        </w:tc>
        <w:tc>
          <w:tcPr/>
          <w:p>
            <w:pPr>
              <w:pStyle w:val="Compact"/>
              <w:jc w:val="left"/>
            </w:pPr>
            <w:r>
              <w:t xml:space="preserve">Quarterly</w:t>
            </w:r>
          </w:p>
        </w:tc>
        <w:tc>
          <w:tcPr/>
          <w:p>
            <w:pPr>
              <w:pStyle w:val="Compact"/>
              <w:jc w:val="left"/>
            </w:pPr>
            <w:r>
              <w:t xml:space="preserve">185,000</w:t>
            </w:r>
          </w:p>
        </w:tc>
        <w:tc>
          <w:tcPr/>
          <w:p>
            <w:pPr>
              <w:pStyle w:val="Compact"/>
              <w:jc w:val="left"/>
            </w:pPr>
            <w:r>
              <w:t xml:space="preserve">740,000</w:t>
            </w:r>
          </w:p>
        </w:tc>
      </w:tr>
      <w:tr>
        <w:tc>
          <w:tcPr/>
          <w:p>
            <w:pPr>
              <w:pStyle w:val="Compact"/>
              <w:jc w:val="left"/>
            </w:pPr>
            <w:r>
              <w:t xml:space="preserve">Payroll Accounting &amp; Social Contribution Processing</w:t>
            </w:r>
          </w:p>
        </w:tc>
        <w:tc>
          <w:tcPr/>
          <w:p>
            <w:pPr>
              <w:pStyle w:val="Compact"/>
              <w:jc w:val="left"/>
            </w:pPr>
            <w:r>
              <w:t xml:space="preserve">Monthly</w:t>
            </w:r>
          </w:p>
        </w:tc>
        <w:tc>
          <w:tcPr/>
          <w:p>
            <w:pPr>
              <w:pStyle w:val="Compact"/>
              <w:jc w:val="left"/>
            </w:pPr>
            <w:r>
              <w:t xml:space="preserve">150,000</w:t>
            </w:r>
          </w:p>
        </w:tc>
        <w:tc>
          <w:tcPr/>
          <w:p>
            <w:pPr>
              <w:pStyle w:val="Compact"/>
              <w:jc w:val="left"/>
            </w:pPr>
            <w:r>
              <w:t xml:space="preserve">1,800,000</w:t>
            </w:r>
          </w:p>
        </w:tc>
      </w:tr>
      <w:tr>
        <w:tc>
          <w:tcPr/>
          <w:p>
            <w:pPr>
              <w:pStyle w:val="Compact"/>
              <w:jc w:val="left"/>
            </w:pPr>
            <w:r>
              <w:t xml:space="preserve">Financial Statement Preparation (Quarterly &amp; Annual)</w:t>
            </w:r>
          </w:p>
        </w:tc>
        <w:tc>
          <w:tcPr/>
          <w:p>
            <w:pPr>
              <w:pStyle w:val="Compact"/>
              <w:jc w:val="left"/>
            </w:pPr>
            <w:r>
              <w:t xml:space="preserve">Quarterly / Annual</w:t>
            </w:r>
          </w:p>
        </w:tc>
        <w:tc>
          <w:tcPr/>
          <w:p>
            <w:pPr>
              <w:pStyle w:val="Compact"/>
              <w:jc w:val="left"/>
            </w:pPr>
            <w:r>
              <w:t xml:space="preserve">320,000</w:t>
            </w:r>
          </w:p>
        </w:tc>
        <w:tc>
          <w:tcPr/>
          <w:p>
            <w:pPr>
              <w:pStyle w:val="Compact"/>
              <w:jc w:val="left"/>
            </w:pPr>
            <w:r>
              <w:t xml:space="preserve">1,600,000</w:t>
            </w:r>
          </w:p>
        </w:tc>
      </w:tr>
      <w:tr>
        <w:tc>
          <w:tcPr/>
          <w:p>
            <w:pPr>
              <w:pStyle w:val="Compact"/>
              <w:jc w:val="left"/>
            </w:pPr>
            <w:r>
              <w:t xml:space="preserve">Bank &amp; Account Reconciliation</w:t>
            </w:r>
          </w:p>
        </w:tc>
        <w:tc>
          <w:tcPr/>
          <w:p>
            <w:pPr>
              <w:pStyle w:val="Compact"/>
              <w:jc w:val="left"/>
            </w:pPr>
            <w:r>
              <w:t xml:space="preserve">Monthly</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Advisory &amp; Compliance Consultation (up to 4 hrs/month)</w:t>
            </w:r>
          </w:p>
        </w:tc>
        <w:tc>
          <w:tcPr/>
          <w:p>
            <w:pPr>
              <w:pStyle w:val="Compact"/>
              <w:jc w:val="left"/>
            </w:pPr>
            <w:r>
              <w:t xml:space="preserve">Monthly</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Audit Support &amp; Documentation Preparation</w:t>
            </w:r>
          </w:p>
        </w:tc>
        <w:tc>
          <w:tcPr/>
          <w:p>
            <w:pPr>
              <w:pStyle w:val="Compact"/>
              <w:jc w:val="left"/>
            </w:pPr>
            <w:r>
              <w:t xml:space="preserve">Annual</w:t>
            </w:r>
          </w:p>
        </w:tc>
        <w:tc>
          <w:tcPr/>
          <w:p>
            <w:pPr>
              <w:pStyle w:val="Compact"/>
              <w:jc w:val="left"/>
            </w:pPr>
            <w:r>
              <w:t xml:space="preserve">450,000</w:t>
            </w:r>
          </w:p>
        </w:tc>
        <w:tc>
          <w:tcPr/>
          <w:p>
            <w:pPr>
              <w:pStyle w:val="Compact"/>
              <w:jc w:val="left"/>
            </w:pPr>
            <w:r>
              <w:t xml:space="preserve">450,000</w:t>
            </w:r>
          </w:p>
        </w:tc>
      </w:tr>
      <w:tr>
        <w:tc>
          <w:tcPr/>
          <w:p>
            <w:pPr>
              <w:pStyle w:val="Compact"/>
              <w:jc w:val="left"/>
            </w:pPr>
            <w:r>
              <w:t xml:space="preserve">Fixed Asset Register &amp; Depreciation Management</w:t>
            </w:r>
          </w:p>
        </w:tc>
        <w:tc>
          <w:tcPr/>
          <w:p>
            <w:pPr>
              <w:pStyle w:val="Compact"/>
              <w:jc w:val="left"/>
            </w:pPr>
            <w:r>
              <w:t xml:space="preserve">Monthly</w:t>
            </w:r>
          </w:p>
        </w:tc>
        <w:tc>
          <w:tcPr/>
          <w:p>
            <w:pPr>
              <w:pStyle w:val="Compact"/>
              <w:jc w:val="left"/>
            </w:pPr>
            <w:r>
              <w:t xml:space="preserve">75,000</w:t>
            </w:r>
          </w:p>
        </w:tc>
        <w:tc>
          <w:tcPr/>
          <w:p>
            <w:pPr>
              <w:pStyle w:val="Compact"/>
              <w:jc w:val="left"/>
            </w:pPr>
            <w:r>
              <w:t xml:space="preserve">900,000</w:t>
            </w:r>
          </w:p>
        </w:tc>
      </w:tr>
      <w:tr>
        <w:tc>
          <w:tcPr>
            <w:gridSpan w:val="3"/>
          </w:tcPr>
          <w:p>
            <w:pPr>
              <w:pStyle w:val="Compact"/>
              <w:jc w:val="left"/>
            </w:pPr>
            <w:r>
              <w:t xml:space="preserve">TOTAL ANNUAL ESTIMATE (excl. VAT)</w:t>
            </w:r>
          </w:p>
        </w:tc>
        <w:tc>
          <w:tcPr/>
          <w:p>
            <w:pPr>
              <w:pStyle w:val="Compact"/>
              <w:jc w:val="left"/>
            </w:pPr>
            <w:r>
              <w:t xml:space="preserve">10,430,000</w:t>
            </w:r>
          </w:p>
        </w:tc>
      </w:tr>
      <w:tr>
        <w:tc>
          <w:tcPr>
            <w:gridSpan w:val="3"/>
          </w:tcPr>
          <w:p>
            <w:pPr>
              <w:pStyle w:val="Compact"/>
              <w:jc w:val="left"/>
            </w:pPr>
            <w:r>
              <w:t xml:space="preserve">VAT (16%)</w:t>
            </w:r>
          </w:p>
        </w:tc>
        <w:tc>
          <w:tcPr/>
          <w:p>
            <w:pPr>
              <w:pStyle w:val="Compact"/>
              <w:jc w:val="left"/>
            </w:pPr>
            <w:r>
              <w:t xml:space="preserve">1,668,800</w:t>
            </w:r>
          </w:p>
        </w:tc>
      </w:tr>
      <w:tr>
        <w:tc>
          <w:tcPr>
            <w:gridSpan w:val="3"/>
          </w:tcPr>
          <w:p>
            <w:pPr>
              <w:pStyle w:val="Compact"/>
              <w:jc w:val="left"/>
            </w:pPr>
            <w:r>
              <w:t xml:space="preserve">GRAND TOTAL (incl. VAT)</w:t>
            </w:r>
          </w:p>
        </w:tc>
        <w:tc>
          <w:tcPr/>
          <w:p>
            <w:pPr>
              <w:pStyle w:val="Compact"/>
              <w:jc w:val="left"/>
            </w:pPr>
            <w:r>
              <w:t xml:space="preserve">12,098,800</w:t>
            </w:r>
          </w:p>
        </w:tc>
      </w:tr>
    </w:tbl>
    <w:bookmarkEnd w:id="23"/>
    <w:bookmarkStart w:id="24" w:name="payment-terms"/>
    <w:p>
      <w:pPr>
        <w:pStyle w:val="Heading2"/>
      </w:pPr>
      <w:r>
        <w:t xml:space="preserve">4. Payment Terms</w:t>
      </w:r>
    </w:p>
    <w:p>
      <w:pPr>
        <w:pStyle w:val="FirstParagraph"/>
      </w:pPr>
      <w:r>
        <w:t xml:space="preserve">Invoices for the services described in this Quotation Estimate shall be issued on a monthly basis by the 5th business day of the following month. Payment is due within 15 calendar days of the invoice date via bank transfer to the designated account of Almaty Financial Advisory Group LLP. Late payments shall attract a penalty of 0.1% per calendar day on the outstanding balance, in accordance with the Civil Code of the Republic of Kazakhstan. A 10% advance payment is required upon acceptance of this Quotation Estimate to initiate the engagement of the Accountant.</w:t>
      </w:r>
    </w:p>
    <w:bookmarkEnd w:id="24"/>
    <w:bookmarkStart w:id="25" w:name="terms-conditions"/>
    <w:p>
      <w:pPr>
        <w:pStyle w:val="Heading2"/>
      </w:pPr>
      <w:r>
        <w:t xml:space="preserve">5. Terms &amp; Conditions</w:t>
      </w:r>
    </w:p>
    <w:p>
      <w:pPr>
        <w:numPr>
          <w:ilvl w:val="0"/>
          <w:numId w:val="1002"/>
        </w:numPr>
        <w:pStyle w:val="Compact"/>
      </w:pPr>
      <w:r>
        <w:t xml:space="preserve">This Quotation Estimate is valid for 30 calendar days from the date of issue. Beyond this period, fees may be revised to reflect changes in the Kazakhstani regulatory environment or market conditions.</w:t>
      </w:r>
    </w:p>
    <w:p>
      <w:pPr>
        <w:numPr>
          <w:ilvl w:val="0"/>
          <w:numId w:val="1002"/>
        </w:numPr>
        <w:pStyle w:val="Compact"/>
      </w:pPr>
      <w:r>
        <w:t xml:space="preserve">The Accountant assigned to this engagement will hold a minimum of five years of experience in corporate accounting within Kazakhstan Almaty and will be a certified member of the National Association of Accountants of Kazakhstan.</w:t>
      </w:r>
    </w:p>
    <w:p>
      <w:pPr>
        <w:numPr>
          <w:ilvl w:val="0"/>
          <w:numId w:val="1002"/>
        </w:numPr>
        <w:pStyle w:val="Compact"/>
      </w:pPr>
      <w:r>
        <w:t xml:space="preserve">All work performed under this Quotation Estimate is subject to the confidentiality provisions of the Law of the Republic of Kazakhstan on Accounting and Financial Reporting. Client data will not be disclosed to third parties without written consent.</w:t>
      </w:r>
    </w:p>
    <w:p>
      <w:pPr>
        <w:numPr>
          <w:ilvl w:val="0"/>
          <w:numId w:val="1002"/>
        </w:numPr>
        <w:pStyle w:val="Compact"/>
      </w:pPr>
      <w:r>
        <w:t xml:space="preserve">Additional services beyond the scope outlined in Section 2 will be billed at a rate of 15,000 KZT per hour and require prior written approval from the client.</w:t>
      </w:r>
    </w:p>
    <w:p>
      <w:pPr>
        <w:numPr>
          <w:ilvl w:val="0"/>
          <w:numId w:val="1002"/>
        </w:numPr>
        <w:pStyle w:val="Compact"/>
      </w:pPr>
      <w:r>
        <w:t xml:space="preserve">This Quotation Estimate does not constitute a binding contract until countersigned by both parties. The definitive engagement letter will be executed within five business days of acceptance.</w:t>
      </w:r>
    </w:p>
    <w:p>
      <w:pPr>
        <w:numPr>
          <w:ilvl w:val="0"/>
          <w:numId w:val="1002"/>
        </w:numPr>
        <w:pStyle w:val="Compact"/>
      </w:pPr>
      <w:r>
        <w:t xml:space="preserve">Disputes arising from this Quotation Estimate shall be resolved through the Arbitration Court of Almaty City in accordance with the applicable laws of Kazakhstan.</w:t>
      </w:r>
    </w:p>
    <w:p>
      <w:pPr>
        <w:pStyle w:val="FirstParagraph"/>
      </w:pPr>
      <w:r>
        <w:rPr>
          <w:bCs/>
          <w:b/>
        </w:rPr>
        <w:t xml:space="preserve">Note:</w:t>
      </w:r>
      <w:r>
        <w:t xml:space="preserve"> </w:t>
      </w:r>
      <w:r>
        <w:t xml:space="preserve">This Quotation Estimate assumes standard business volumes. Should the client's transaction volume exceed 2,000 entries per month or the employee headcount surpass 50, a revised Quotation Estimate will be issued within five business days of the change in scope. All fees are exclusive of third-party government filing fees, which will be reimbursed at cost.</w:t>
      </w:r>
    </w:p>
    <w:bookmarkEnd w:id="25"/>
    <w:bookmarkStart w:id="26" w:name="acceptance-signatures"/>
    <w:p>
      <w:pPr>
        <w:pStyle w:val="Heading2"/>
      </w:pPr>
      <w:r>
        <w:t xml:space="preserve">6. Acceptance &amp; Signatures</w:t>
      </w:r>
    </w:p>
    <w:p>
      <w:pPr>
        <w:pStyle w:val="FirstParagraph"/>
      </w:pPr>
      <w:r>
        <w:t xml:space="preserve">By signing below, both parties acknowledge that they have read, understood, and agree to the terms set forth in this Quotation Estimate for Accountant services in Kazakhstan Almaty.</w:t>
      </w:r>
    </w:p>
    <w:p>
      <w:pPr>
        <w:pStyle w:val="BodyText"/>
      </w:pPr>
      <w:r>
        <w:rPr>
          <w:bCs/>
          <w:b/>
        </w:rPr>
        <w:t xml:space="preserve">For Almaty Financial Advisory Group LLP</w:t>
      </w:r>
      <w:r>
        <w:br/>
      </w:r>
      <w:r>
        <w:t xml:space="preserve">Name: _________________________</w:t>
      </w:r>
      <w:r>
        <w:br/>
      </w:r>
      <w:r>
        <w:t xml:space="preserve">Title: Managing Director</w:t>
      </w:r>
      <w:r>
        <w:br/>
      </w:r>
      <w:r>
        <w:t xml:space="preserve">Date: _________________________</w:t>
      </w:r>
    </w:p>
    <w:p>
      <w:pPr>
        <w:pStyle w:val="BodyText"/>
      </w:pPr>
      <w:r>
        <w:rPr>
          <w:bCs/>
          <w:b/>
        </w:rPr>
        <w:t xml:space="preserve">For [Client Company Name]</w:t>
      </w:r>
      <w:r>
        <w:br/>
      </w:r>
      <w:r>
        <w:t xml:space="preserve">Name: _________________________</w:t>
      </w:r>
      <w:r>
        <w:br/>
      </w:r>
      <w:r>
        <w:t xml:space="preserve">Title: _________________________</w:t>
      </w:r>
      <w:r>
        <w:br/>
      </w:r>
      <w:r>
        <w:t xml:space="preserve">Date: _________________________</w:t>
      </w:r>
    </w:p>
    <w:p>
      <w:pPr>
        <w:pStyle w:val="BodyText"/>
      </w:pPr>
      <w:r>
        <w:rPr>
          <w:bCs/>
          <w:b/>
        </w:rPr>
        <w:t xml:space="preserve">Almaty Financial Advisory Group LLP</w:t>
      </w:r>
      <w:r>
        <w:t xml:space="preserve"> </w:t>
      </w:r>
      <w:r>
        <w:t xml:space="preserve">| 45 Abai Avenue, Office 12, Almaty 050040, Kazakhstan | BIC: KZFTKZKA | IIN: 990940012345</w:t>
      </w:r>
      <w:r>
        <w:br/>
      </w:r>
      <w:r>
        <w:t xml:space="preserve">This Quotation Estimate is the property of Almaty Financial Advisory Group LLP and is intended solely for the named recipient. Unauthorised reproduction or distribution is prohibited. Document QE-ALM-2025-0472.</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Accountant Services - Kazakhstan Almaty</dc:title>
  <dc:creator/>
  <dc:language>en</dc:language>
  <cp:keywords/>
  <dcterms:created xsi:type="dcterms:W3CDTF">2026-10-10T06:49:55Z</dcterms:created>
  <dcterms:modified xsi:type="dcterms:W3CDTF">2026-10-10T06:49:55Z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