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Accountant Services — Kuwait, Kuwait City</w:t>
      </w:r>
    </w:p>
    <w:p>
      <w:pPr>
        <w:pStyle w:val="BodyText"/>
      </w:pPr>
      <w:r>
        <w:t xml:space="preserve">Document No. QE-KWT-2025-0472</w:t>
      </w:r>
    </w:p>
    <w:bookmarkEnd w:id="20"/>
    <w:p>
      <w:pPr>
        <w:pStyle w:val="BodyText"/>
      </w:pPr>
      <w:r>
        <w:rPr>
          <w:bCs/>
          <w:b/>
        </w:rPr>
        <w:t xml:space="preserve">Prepared By:</w:t>
      </w:r>
      <w:r>
        <w:br/>
      </w:r>
      <w:r>
        <w:t xml:space="preserve">Al-Nakheel Accounting &amp; Financial Advisory LLC</w:t>
      </w:r>
      <w:r>
        <w:br/>
      </w:r>
      <w:r>
        <w:t xml:space="preserve">Office 12, 4th Floor, Al-Salem Tower</w:t>
      </w:r>
      <w:r>
        <w:br/>
      </w:r>
      <w:r>
        <w:t xml:space="preserve">Kuwait City, Kuwait</w:t>
      </w:r>
      <w:r>
        <w:br/>
      </w:r>
      <w:r>
        <w:t xml:space="preserve">Tel: +965-2244-7890</w:t>
      </w:r>
      <w:r>
        <w:br/>
      </w:r>
      <w:r>
        <w:t xml:space="preserve">Email: quotes@alnakheel-kw.com</w:t>
      </w:r>
    </w:p>
    <w:p>
      <w:pPr>
        <w:pStyle w:val="BodyText"/>
      </w:pPr>
      <w:r>
        <w:rPr>
          <w:bCs/>
          <w:b/>
        </w:rPr>
        <w:t xml:space="preserve">Prepared For:</w:t>
      </w:r>
      <w:r>
        <w:br/>
      </w:r>
      <w:r>
        <w:t xml:space="preserve">[Client Name / Company Name]</w:t>
      </w:r>
      <w:r>
        <w:br/>
      </w:r>
      <w:r>
        <w:t xml:space="preserve">[Client Address]</w:t>
      </w:r>
      <w:r>
        <w:br/>
      </w:r>
      <w:r>
        <w:t xml:space="preserve">Kuwait City, Kuwait</w:t>
      </w:r>
      <w:r>
        <w:br/>
      </w:r>
      <w:r>
        <w:t xml:space="preserve">Contact: [Client Phone / Email]</w:t>
      </w:r>
    </w:p>
    <w:p>
      <w:pPr>
        <w:pStyle w:val="BodyText"/>
      </w:pPr>
      <w:r>
        <w:rPr>
          <w:bCs/>
          <w:b/>
        </w:rPr>
        <w:t xml:space="preserve">Quotation Date:</w:t>
      </w:r>
      <w:r>
        <w:br/>
      </w:r>
      <w:r>
        <w:t xml:space="preserve">15 June 2025</w:t>
      </w:r>
      <w:r>
        <w:br/>
      </w:r>
      <w:r>
        <w:br/>
      </w:r>
      <w:r>
        <w:rPr>
          <w:bCs/>
          <w:b/>
        </w:rPr>
        <w:t xml:space="preserve">Valid Until:</w:t>
      </w:r>
      <w:r>
        <w:br/>
      </w:r>
      <w:r>
        <w:t xml:space="preserve">15 July 2025</w:t>
      </w:r>
      <w:r>
        <w:br/>
      </w:r>
      <w:r>
        <w:br/>
      </w:r>
      <w:r>
        <w:rPr>
          <w:bCs/>
          <w:b/>
        </w:rPr>
        <w:t xml:space="preserve">Payment Terms:</w:t>
      </w:r>
      <w:r>
        <w:br/>
      </w:r>
      <w:r>
        <w:t xml:space="preserve">Net 30 Days</w:t>
      </w:r>
    </w:p>
    <w:bookmarkStart w:id="21" w:name="purpose-of-this-quotation-estimate"/>
    <w:p>
      <w:pPr>
        <w:pStyle w:val="Heading2"/>
      </w:pPr>
      <w:r>
        <w:t xml:space="preserve">1. Purpose of This Quotation Estimate</w:t>
      </w:r>
    </w:p>
    <w:p>
      <w:pPr>
        <w:pStyle w:val="FirstParagraph"/>
      </w:pPr>
      <w:r>
        <w:t xml:space="preserve">This Quotation Estimate has been prepared by Al-Nakheel Accounting &amp; Financial Advisory LLC to provide a comprehensive and transparent breakdown of professional Accountant services to be delivered to the client within Kuwait, Kuwait City. The purpose of this document is to outline the scope of work, the specific deliverables, the associated costs, and the terms under which our Accountant team will operate. This Quotation Estimate serves as a formal proposal and, upon acceptance by the client, will form the basis of a binding service agreement between both parties. All figures presented herein are quoted in Kuwaiti Dinars (KWD) unless otherwise stated.</w:t>
      </w:r>
    </w:p>
    <w:bookmarkEnd w:id="21"/>
    <w:bookmarkStart w:id="22" w:name="scope-of-accountant-services"/>
    <w:p>
      <w:pPr>
        <w:pStyle w:val="Heading2"/>
      </w:pPr>
      <w:r>
        <w:t xml:space="preserve">2. Scope of Accountant Services</w:t>
      </w:r>
    </w:p>
    <w:p>
      <w:pPr>
        <w:pStyle w:val="FirstParagraph"/>
      </w:pPr>
      <w:r>
        <w:t xml:space="preserve">Our qualified Accountant professionals, all of whom are registered with the Kuwait Public Authority for Manpower and hold valid professional certifications, will provide the following services to the client's business operations located in Kuwait City:</w:t>
      </w:r>
    </w:p>
    <w:p>
      <w:pPr>
        <w:numPr>
          <w:ilvl w:val="0"/>
          <w:numId w:val="1001"/>
        </w:numPr>
        <w:pStyle w:val="Compact"/>
      </w:pPr>
      <w:r>
        <w:t xml:space="preserve">Monthly preparation and reconciliation of general ledgers, trial balances, and financial statements in compliance with Kuwaiti Commercial Law and International Financial Reporting Standards (IFRS).</w:t>
      </w:r>
    </w:p>
    <w:p>
      <w:pPr>
        <w:numPr>
          <w:ilvl w:val="0"/>
          <w:numId w:val="1001"/>
        </w:numPr>
        <w:pStyle w:val="Compact"/>
      </w:pPr>
      <w:r>
        <w:t xml:space="preserve">Preparation and filing of monthly and annual tax returns with the Kuwait Authority for Public Revenue (KAPR), including Value Added Tax (VAT) returns at the standard rate of 5% applicable in Kuwait.</w:t>
      </w:r>
    </w:p>
    <w:p>
      <w:pPr>
        <w:numPr>
          <w:ilvl w:val="0"/>
          <w:numId w:val="1001"/>
        </w:numPr>
        <w:pStyle w:val="Compact"/>
      </w:pPr>
      <w:r>
        <w:t xml:space="preserve">Payroll processing for up to 50 employees, including social insurance contributions to the Kuwait Social Security Authority, end-of-service benefit calculations, and salary disbursement coordination.</w:t>
      </w:r>
    </w:p>
    <w:p>
      <w:pPr>
        <w:numPr>
          <w:ilvl w:val="0"/>
          <w:numId w:val="1001"/>
        </w:numPr>
        <w:pStyle w:val="Compact"/>
      </w:pPr>
      <w:r>
        <w:t xml:space="preserve">Accounts payable and accounts receivable management, including vendor reconciliation, invoice processing, and aging report generation.</w:t>
      </w:r>
    </w:p>
    <w:p>
      <w:pPr>
        <w:numPr>
          <w:ilvl w:val="0"/>
          <w:numId w:val="1001"/>
        </w:numPr>
        <w:pStyle w:val="Compact"/>
      </w:pPr>
      <w:r>
        <w:t xml:space="preserve">Bank reconciliation for all corporate bank accounts held with local Kuwaiti financial institutions.</w:t>
      </w:r>
    </w:p>
    <w:p>
      <w:pPr>
        <w:numPr>
          <w:ilvl w:val="0"/>
          <w:numId w:val="1001"/>
        </w:numPr>
        <w:pStyle w:val="Compact"/>
      </w:pPr>
      <w:r>
        <w:t xml:space="preserve">Quarterly management reports and year-end financial audit support to be delivered to the client's board of directors in Kuwait City.</w:t>
      </w:r>
    </w:p>
    <w:p>
      <w:pPr>
        <w:numPr>
          <w:ilvl w:val="0"/>
          <w:numId w:val="1001"/>
        </w:numPr>
        <w:pStyle w:val="Compact"/>
      </w:pPr>
      <w:r>
        <w:t xml:space="preserve">Advisory services on corporate tax structuring, transfer pricing documentation, and compliance with the Kuwait Companies Law (Law No. 1 of 2016).</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Cost (KWD)</w:t>
            </w:r>
          </w:p>
        </w:tc>
        <w:tc>
          <w:tcPr/>
          <w:p>
            <w:pPr>
              <w:pStyle w:val="Compact"/>
              <w:jc w:val="left"/>
            </w:pPr>
            <w:r>
              <w:t xml:space="preserve">Quantity</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Senior Accountant — Monthly Bookkeeping &amp; Ledger Maintenance</w:t>
            </w:r>
          </w:p>
        </w:tc>
        <w:tc>
          <w:tcPr/>
          <w:p>
            <w:pPr>
              <w:pStyle w:val="Compact"/>
              <w:jc w:val="left"/>
            </w:pPr>
            <w:r>
              <w:t xml:space="preserve">Monthly</w:t>
            </w:r>
          </w:p>
        </w:tc>
        <w:tc>
          <w:tcPr/>
          <w:p>
            <w:pPr>
              <w:pStyle w:val="Compact"/>
              <w:jc w:val="left"/>
            </w:pPr>
            <w:r>
              <w:t xml:space="preserve">450.000</w:t>
            </w:r>
          </w:p>
        </w:tc>
        <w:tc>
          <w:tcPr/>
          <w:p>
            <w:pPr>
              <w:pStyle w:val="Compact"/>
              <w:jc w:val="left"/>
            </w:pPr>
            <w:r>
              <w:t xml:space="preserve">12</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Accountant — VAT &amp; Tax Return Preparation and Filing (KAPR)</w:t>
            </w:r>
          </w:p>
        </w:tc>
        <w:tc>
          <w:tcPr/>
          <w:p>
            <w:pPr>
              <w:pStyle w:val="Compact"/>
              <w:jc w:val="left"/>
            </w:pPr>
            <w:r>
              <w:t xml:space="preserve">Monthly</w:t>
            </w:r>
          </w:p>
        </w:tc>
        <w:tc>
          <w:tcPr/>
          <w:p>
            <w:pPr>
              <w:pStyle w:val="Compact"/>
              <w:jc w:val="left"/>
            </w:pPr>
            <w:r>
              <w:t xml:space="preserve">300.000</w:t>
            </w:r>
          </w:p>
        </w:tc>
        <w:tc>
          <w:tcPr/>
          <w:p>
            <w:pPr>
              <w:pStyle w:val="Compact"/>
              <w:jc w:val="left"/>
            </w:pPr>
            <w:r>
              <w:t xml:space="preserve">12</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Accountant — Payroll Processing (up to 50 employees)</w:t>
            </w:r>
          </w:p>
        </w:tc>
        <w:tc>
          <w:tcPr/>
          <w:p>
            <w:pPr>
              <w:pStyle w:val="Compact"/>
              <w:jc w:val="left"/>
            </w:pPr>
            <w:r>
              <w:t xml:space="preserve">Monthly</w:t>
            </w:r>
          </w:p>
        </w:tc>
        <w:tc>
          <w:tcPr/>
          <w:p>
            <w:pPr>
              <w:pStyle w:val="Compact"/>
              <w:jc w:val="left"/>
            </w:pPr>
            <w:r>
              <w:t xml:space="preserve">350.000</w:t>
            </w:r>
          </w:p>
        </w:tc>
        <w:tc>
          <w:tcPr/>
          <w:p>
            <w:pPr>
              <w:pStyle w:val="Compact"/>
              <w:jc w:val="left"/>
            </w:pPr>
            <w:r>
              <w:t xml:space="preserve">12</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Accountant — Accounts Payable / Receivable Management</w:t>
            </w:r>
          </w:p>
        </w:tc>
        <w:tc>
          <w:tcPr/>
          <w:p>
            <w:pPr>
              <w:pStyle w:val="Compact"/>
              <w:jc w:val="left"/>
            </w:pPr>
            <w:r>
              <w:t xml:space="preserve">Monthly</w:t>
            </w:r>
          </w:p>
        </w:tc>
        <w:tc>
          <w:tcPr/>
          <w:p>
            <w:pPr>
              <w:pStyle w:val="Compact"/>
              <w:jc w:val="left"/>
            </w:pPr>
            <w:r>
              <w:t xml:space="preserve">275.000</w:t>
            </w:r>
          </w:p>
        </w:tc>
        <w:tc>
          <w:tcPr/>
          <w:p>
            <w:pPr>
              <w:pStyle w:val="Compact"/>
              <w:jc w:val="left"/>
            </w:pPr>
            <w:r>
              <w:t xml:space="preserve">12</w:t>
            </w:r>
          </w:p>
        </w:tc>
        <w:tc>
          <w:tcPr/>
          <w:p>
            <w:pPr>
              <w:pStyle w:val="Compact"/>
              <w:jc w:val="left"/>
            </w:pPr>
            <w:r>
              <w:t xml:space="preserve">3,300.000</w:t>
            </w:r>
          </w:p>
        </w:tc>
      </w:tr>
      <w:tr>
        <w:tc>
          <w:tcPr/>
          <w:p>
            <w:pPr>
              <w:pStyle w:val="Compact"/>
              <w:jc w:val="left"/>
            </w:pPr>
            <w:r>
              <w:t xml:space="preserve">05</w:t>
            </w:r>
          </w:p>
        </w:tc>
        <w:tc>
          <w:tcPr/>
          <w:p>
            <w:pPr>
              <w:pStyle w:val="Compact"/>
              <w:jc w:val="left"/>
            </w:pPr>
            <w:r>
              <w:t xml:space="preserve">Accountant — Bank Reconciliation (up to 5 accounts)</w:t>
            </w:r>
          </w:p>
        </w:tc>
        <w:tc>
          <w:tcPr/>
          <w:p>
            <w:pPr>
              <w:pStyle w:val="Compact"/>
              <w:jc w:val="left"/>
            </w:pPr>
            <w:r>
              <w:t xml:space="preserve">Monthly</w:t>
            </w:r>
          </w:p>
        </w:tc>
        <w:tc>
          <w:tcPr/>
          <w:p>
            <w:pPr>
              <w:pStyle w:val="Compact"/>
              <w:jc w:val="left"/>
            </w:pPr>
            <w:r>
              <w:t xml:space="preserve">150.000</w:t>
            </w:r>
          </w:p>
        </w:tc>
        <w:tc>
          <w:tcPr/>
          <w:p>
            <w:pPr>
              <w:pStyle w:val="Compact"/>
              <w:jc w:val="left"/>
            </w:pPr>
            <w:r>
              <w:t xml:space="preserve">12</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Senior Accountant — Quarterly Management &amp; Board Reports</w:t>
            </w:r>
          </w:p>
        </w:tc>
        <w:tc>
          <w:tcPr/>
          <w:p>
            <w:pPr>
              <w:pStyle w:val="Compact"/>
              <w:jc w:val="left"/>
            </w:pPr>
            <w:r>
              <w:t xml:space="preserve">Quarterly</w:t>
            </w:r>
          </w:p>
        </w:tc>
        <w:tc>
          <w:tcPr/>
          <w:p>
            <w:pPr>
              <w:pStyle w:val="Compact"/>
              <w:jc w:val="left"/>
            </w:pPr>
            <w:r>
              <w:t xml:space="preserve">600.000</w:t>
            </w:r>
          </w:p>
        </w:tc>
        <w:tc>
          <w:tcPr/>
          <w:p>
            <w:pPr>
              <w:pStyle w:val="Compact"/>
              <w:jc w:val="left"/>
            </w:pPr>
            <w:r>
              <w:t xml:space="preserve">4</w:t>
            </w:r>
          </w:p>
        </w:tc>
        <w:tc>
          <w:tcPr/>
          <w:p>
            <w:pPr>
              <w:pStyle w:val="Compact"/>
              <w:jc w:val="left"/>
            </w:pPr>
            <w:r>
              <w:t xml:space="preserve">2,400.000</w:t>
            </w:r>
          </w:p>
        </w:tc>
      </w:tr>
      <w:tr>
        <w:tc>
          <w:tcPr/>
          <w:p>
            <w:pPr>
              <w:pStyle w:val="Compact"/>
              <w:jc w:val="left"/>
            </w:pPr>
            <w:r>
              <w:t xml:space="preserve">07</w:t>
            </w:r>
          </w:p>
        </w:tc>
        <w:tc>
          <w:tcPr/>
          <w:p>
            <w:pPr>
              <w:pStyle w:val="Compact"/>
              <w:jc w:val="left"/>
            </w:pPr>
            <w:r>
              <w:t xml:space="preserve">Accountant — Year-End Financial Statements &amp; Audit Support</w:t>
            </w:r>
          </w:p>
        </w:tc>
        <w:tc>
          <w:tcPr/>
          <w:p>
            <w:pPr>
              <w:pStyle w:val="Compact"/>
              <w:jc w:val="left"/>
            </w:pPr>
            <w:r>
              <w:t xml:space="preserve">Annual</w:t>
            </w:r>
          </w:p>
        </w:tc>
        <w:tc>
          <w:tcPr/>
          <w:p>
            <w:pPr>
              <w:pStyle w:val="Compact"/>
              <w:jc w:val="left"/>
            </w:pPr>
            <w:r>
              <w:t xml:space="preserve">2,500.000</w:t>
            </w:r>
          </w:p>
        </w:tc>
        <w:tc>
          <w:tcPr/>
          <w:p>
            <w:pPr>
              <w:pStyle w:val="Compact"/>
              <w:jc w:val="left"/>
            </w:pPr>
            <w:r>
              <w:t xml:space="preserve">1</w:t>
            </w:r>
          </w:p>
        </w:tc>
        <w:tc>
          <w:tcPr/>
          <w:p>
            <w:pPr>
              <w:pStyle w:val="Compact"/>
              <w:jc w:val="left"/>
            </w:pPr>
            <w:r>
              <w:t xml:space="preserve">2,500.000</w:t>
            </w:r>
          </w:p>
        </w:tc>
      </w:tr>
      <w:tr>
        <w:tc>
          <w:tcPr/>
          <w:p>
            <w:pPr>
              <w:pStyle w:val="Compact"/>
              <w:jc w:val="left"/>
            </w:pPr>
            <w:r>
              <w:t xml:space="preserve">08</w:t>
            </w:r>
          </w:p>
        </w:tc>
        <w:tc>
          <w:tcPr/>
          <w:p>
            <w:pPr>
              <w:pStyle w:val="Compact"/>
              <w:jc w:val="left"/>
            </w:pPr>
            <w:r>
              <w:t xml:space="preserve">Accountant — Advisory &amp; Compliance Consultation (10 hrs/month)</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09</w:t>
            </w:r>
          </w:p>
        </w:tc>
        <w:tc>
          <w:tcPr/>
          <w:p>
            <w:pPr>
              <w:pStyle w:val="Compact"/>
              <w:jc w:val="left"/>
            </w:pPr>
            <w:r>
              <w:t xml:space="preserve">Software &amp; Licensing Fees (Accounting Platform — Kuwait City Office)</w:t>
            </w:r>
          </w:p>
        </w:tc>
        <w:tc>
          <w:tcPr/>
          <w:p>
            <w:pPr>
              <w:pStyle w:val="Compact"/>
              <w:jc w:val="left"/>
            </w:pPr>
            <w:r>
              <w:t xml:space="preserve">Annual</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10</w:t>
            </w:r>
          </w:p>
        </w:tc>
        <w:tc>
          <w:tcPr/>
          <w:p>
            <w:pPr>
              <w:pStyle w:val="Compact"/>
              <w:jc w:val="left"/>
            </w:pPr>
            <w:r>
              <w:t xml:space="preserve">On-Site Accountant Visits to Client Premises, Kuwait City (4 visits/month)</w:t>
            </w:r>
          </w:p>
        </w:tc>
        <w:tc>
          <w:tcPr/>
          <w:p>
            <w:pPr>
              <w:pStyle w:val="Compact"/>
              <w:jc w:val="left"/>
            </w:pPr>
            <w:r>
              <w:t xml:space="preserve">Monthly</w:t>
            </w:r>
          </w:p>
        </w:tc>
        <w:tc>
          <w:tcPr/>
          <w:p>
            <w:pPr>
              <w:pStyle w:val="Compact"/>
              <w:jc w:val="left"/>
            </w:pPr>
            <w:r>
              <w:t xml:space="preserve">80.000</w:t>
            </w:r>
          </w:p>
        </w:tc>
        <w:tc>
          <w:tcPr/>
          <w:p>
            <w:pPr>
              <w:pStyle w:val="Compact"/>
              <w:jc w:val="left"/>
            </w:pPr>
            <w:r>
              <w:t xml:space="preserve">48</w:t>
            </w:r>
          </w:p>
        </w:tc>
        <w:tc>
          <w:tcPr/>
          <w:p>
            <w:pPr>
              <w:pStyle w:val="Compact"/>
              <w:jc w:val="left"/>
            </w:pPr>
            <w:r>
              <w:t xml:space="preserve">3,840.000</w:t>
            </w:r>
          </w:p>
        </w:tc>
      </w:tr>
      <w:tr>
        <w:tc>
          <w:tcPr>
            <w:gridSpan w:val="5"/>
          </w:tcPr>
          <w:p>
            <w:pPr>
              <w:pStyle w:val="Compact"/>
              <w:jc w:val="right"/>
            </w:pPr>
            <w:r>
              <w:t xml:space="preserve">Subtotal</w:t>
            </w:r>
          </w:p>
        </w:tc>
        <w:tc>
          <w:tcPr/>
          <w:p>
            <w:pPr>
              <w:pStyle w:val="Compact"/>
              <w:jc w:val="left"/>
            </w:pPr>
            <w:r>
              <w:t xml:space="preserve">29,680.000</w:t>
            </w:r>
          </w:p>
        </w:tc>
      </w:tr>
      <w:tr>
        <w:tc>
          <w:tcPr>
            <w:gridSpan w:val="5"/>
          </w:tcPr>
          <w:p>
            <w:pPr>
              <w:pStyle w:val="Compact"/>
              <w:jc w:val="right"/>
            </w:pPr>
            <w:r>
              <w:t xml:space="preserve">VAT (5% — Applicable in Kuwait)</w:t>
            </w:r>
          </w:p>
        </w:tc>
        <w:tc>
          <w:tcPr/>
          <w:p>
            <w:pPr>
              <w:pStyle w:val="Compact"/>
              <w:jc w:val="left"/>
            </w:pPr>
            <w:r>
              <w:t xml:space="preserve">1,484.000</w:t>
            </w:r>
          </w:p>
        </w:tc>
      </w:tr>
      <w:tr>
        <w:tc>
          <w:tcPr>
            <w:gridSpan w:val="5"/>
          </w:tcPr>
          <w:p>
            <w:pPr>
              <w:pStyle w:val="Compact"/>
              <w:jc w:val="right"/>
            </w:pPr>
            <w:r>
              <w:t xml:space="preserve">GRAND TOTAL (KWD)</w:t>
            </w:r>
          </w:p>
        </w:tc>
        <w:tc>
          <w:tcPr/>
          <w:p>
            <w:pPr>
              <w:pStyle w:val="Compact"/>
              <w:jc w:val="left"/>
            </w:pPr>
            <w:r>
              <w:t xml:space="preserve">31,164.000</w:t>
            </w:r>
          </w:p>
        </w:tc>
      </w:tr>
    </w:tbl>
    <w:bookmarkEnd w:id="23"/>
    <w:bookmarkStart w:id="24" w:name="terms-and-conditions"/>
    <w:p>
      <w:pPr>
        <w:pStyle w:val="Heading2"/>
      </w:pPr>
      <w:r>
        <w:t xml:space="preserve">4. Terms and Conditions</w:t>
      </w:r>
    </w:p>
    <w:p>
      <w:pPr>
        <w:pStyle w:val="FirstParagraph"/>
      </w:pPr>
      <w:r>
        <w:t xml:space="preserve">This Quotation Estimate is valid for a period of thirty (30) calendar days from the date of issue. Upon written acceptance by the client, a formal Service Level Agreement (SLA) will be executed, incorporating all terms detailed in this Quotation Estimate. Payment is due within thirty (30) days of invoice issuance. In the event of non-payment beyond the stipulated period, a late payment interest of 1.5% per month shall apply, in accordance with Kuwaiti commercial regulations.</w:t>
      </w:r>
    </w:p>
    <w:p>
      <w:pPr>
        <w:pStyle w:val="BodyText"/>
      </w:pPr>
      <w:r>
        <w:t xml:space="preserve">The Accountant services described in this Quotation Estimate are to be performed exclusively for the client's registered business entity in Kuwait City, Kuwait. Any additional services, scope changes, or requests for the Accountant to handle entities outside of Kuwait City or outside the Kingdom of Kuwait will require a separate written amendment to this Quotation Estimate and may incur additional charges.</w:t>
      </w:r>
    </w:p>
    <w:p>
      <w:pPr>
        <w:pStyle w:val="BodyText"/>
      </w:pPr>
      <w:r>
        <w:t xml:space="preserve">Our Accountant team guarantees strict confidentiality of all financial data, client records, and proprietary business information. All data handling will comply with the Kuwait Data Protection regulations and the professional ethical standards set forth by the Kuwait Institute of Certified Public Accountants (KICPA).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scope, pricing, and terms outlined herein for the engagement of our Accountant services in Kuwait, Kuwait City. This signature constitutes formal acceptance and authorizes Al-Nakheel Accounting &amp; Financial Advisory LLC to commence the Accountant services as described.</w:t>
      </w:r>
    </w:p>
    <w:p>
      <w:pPr>
        <w:pStyle w:val="BodyText"/>
      </w:pPr>
      <w:r>
        <w:rPr>
          <w:bCs/>
          <w:b/>
        </w:rPr>
        <w:t xml:space="preserve">For Al-Nakheel Accounting &amp; Financial Advisory LLC</w:t>
      </w:r>
    </w:p>
    <w:p>
      <w:pPr>
        <w:pStyle w:val="BodyText"/>
      </w:pPr>
      <w:r>
        <w:t xml:space="preserve">Authorized Signatory — Kuwait City, Kuwait</w:t>
      </w:r>
    </w:p>
    <w:p>
      <w:pPr>
        <w:pStyle w:val="BodyText"/>
      </w:pPr>
      <w:r>
        <w:t xml:space="preserve">Date: _______________</w:t>
      </w:r>
    </w:p>
    <w:p>
      <w:pPr>
        <w:pStyle w:val="BodyText"/>
      </w:pPr>
      <w:r>
        <w:rPr>
          <w:bCs/>
          <w:b/>
        </w:rPr>
        <w:t xml:space="preserve">For the Client</w:t>
      </w:r>
    </w:p>
    <w:p>
      <w:pPr>
        <w:pStyle w:val="BodyText"/>
      </w:pPr>
      <w:r>
        <w:t xml:space="preserve">Authorized Signatory — Kuwait City, Kuwait</w:t>
      </w:r>
    </w:p>
    <w:p>
      <w:pPr>
        <w:pStyle w:val="BodyText"/>
      </w:pPr>
      <w:r>
        <w:t xml:space="preserve">Date: _______________</w:t>
      </w:r>
    </w:p>
    <w:p>
      <w:pPr>
        <w:pStyle w:val="BodyText"/>
      </w:pPr>
      <w:r>
        <w:t xml:space="preserve">This Quotation Estimate document (Ref: QE-KWT-2025-0472) is issued by Al-Nakheel Accounting &amp; Financial Advisory LLC, a licensed professional services firm registered in Kuwait, Kuwait City. All Accountant services are delivered in full compliance with the laws of the State of Kuwait. This document is confidential and intended solely for the named recipient. Unauthorized reproduction or distribution is strictly prohibited.</w:t>
      </w:r>
    </w:p>
    <w:p>
      <w:pPr>
        <w:pStyle w:val="BodyText"/>
      </w:pPr>
      <w:r>
        <w:t xml:space="preserve">© 2025 Al-Nakheel Accounting &amp; Financial Advisory LLC — Kuwait City, Kuwait.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Kuwait Kuwait City</dc:title>
  <dc:creator/>
  <dc:language>en</dc:language>
  <cp:keywords/>
  <dcterms:created xsi:type="dcterms:W3CDTF">2026-10-10T08:36:10Z</dcterms:created>
  <dcterms:modified xsi:type="dcterms:W3CDTF">2026-10-10T08:36:10Z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