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quotation-estimate"/>
    <w:p>
      <w:pPr>
        <w:pStyle w:val="Heading1"/>
      </w:pPr>
      <w:r>
        <w:t xml:space="preserve">QUOTATION ESTIMATE</w:t>
      </w:r>
    </w:p>
    <w:p>
      <w:pPr>
        <w:pStyle w:val="FirstParagraph"/>
      </w:pPr>
      <w:r>
        <w:t xml:space="preserve">Professional Accountant Services</w:t>
      </w:r>
    </w:p>
    <w:p>
      <w:pPr>
        <w:pStyle w:val="BodyText"/>
      </w:pPr>
      <w:r>
        <w:t xml:space="preserve">Malaysia Kuala Lumpur</w:t>
      </w:r>
    </w:p>
    <w:bookmarkEnd w:id="20"/>
    <w:bookmarkStart w:id="21" w:name="service-provider"/>
    <w:p>
      <w:pPr>
        <w:pStyle w:val="Heading3"/>
      </w:pPr>
      <w:r>
        <w:t xml:space="preserve">Service Provider</w:t>
      </w:r>
    </w:p>
    <w:p>
      <w:pPr>
        <w:pStyle w:val="FirstParagraph"/>
      </w:pPr>
      <w:r>
        <w:rPr>
          <w:bCs/>
          <w:b/>
        </w:rPr>
        <w:t xml:space="preserve">KL Premier Accountant Solutions Sdn. Bhd.</w:t>
      </w:r>
    </w:p>
    <w:p>
      <w:pPr>
        <w:pStyle w:val="BodyText"/>
      </w:pPr>
      <w:r>
        <w:t xml:space="preserve">Level 12, Menara Sentral, Jalan Stesen Sentral 5</w:t>
      </w:r>
    </w:p>
    <w:p>
      <w:pPr>
        <w:pStyle w:val="BodyText"/>
      </w:pPr>
      <w:r>
        <w:t xml:space="preserve">50470 Kuala Lumpur, Malaysia</w:t>
      </w:r>
    </w:p>
    <w:p>
      <w:pPr>
        <w:pStyle w:val="BodyText"/>
      </w:pPr>
      <w:r>
        <w:t xml:space="preserve">Tel: +603-2181 4567</w:t>
      </w:r>
    </w:p>
    <w:p>
      <w:pPr>
        <w:pStyle w:val="BodyText"/>
      </w:pPr>
      <w:r>
        <w:t xml:space="preserve">Email: enquiries@klpremieraccountant.com.my</w:t>
      </w:r>
    </w:p>
    <w:p>
      <w:pPr>
        <w:pStyle w:val="BodyText"/>
      </w:pPr>
      <w:r>
        <w:t xml:space="preserve">Registration No: 201901045678 (K)</w:t>
      </w:r>
    </w:p>
    <w:bookmarkEnd w:id="21"/>
    <w:bookmarkStart w:id="22" w:name="client-recipient"/>
    <w:p>
      <w:pPr>
        <w:pStyle w:val="Heading3"/>
      </w:pPr>
      <w:r>
        <w:t xml:space="preserve">Client / Recipient</w:t>
      </w:r>
    </w:p>
    <w:p>
      <w:pPr>
        <w:pStyle w:val="FirstParagraph"/>
      </w:pPr>
      <w:r>
        <w:rPr>
          <w:bCs/>
          <w:b/>
        </w:rPr>
        <w:t xml:space="preserve">Meridian Trading &amp; Logistics (M) Sdn. Bhd.</w:t>
      </w:r>
    </w:p>
    <w:p>
      <w:pPr>
        <w:pStyle w:val="BodyText"/>
      </w:pPr>
      <w:r>
        <w:t xml:space="preserve">Unit 8-3, Ground Floor, Wisma Damansara</w:t>
      </w:r>
    </w:p>
    <w:p>
      <w:pPr>
        <w:pStyle w:val="BodyText"/>
      </w:pPr>
      <w:r>
        <w:t xml:space="preserve">50490 Kuala Lumpur, Malaysia</w:t>
      </w:r>
    </w:p>
    <w:p>
      <w:pPr>
        <w:pStyle w:val="BodyText"/>
      </w:pPr>
      <w:r>
        <w:t xml:space="preserve">Attn: Mr. Tan Wei Keat, Finance Director</w:t>
      </w:r>
    </w:p>
    <w:p>
      <w:pPr>
        <w:pStyle w:val="BodyText"/>
      </w:pPr>
      <w:r>
        <w:t xml:space="preserve">Tel: +603-4022 8899</w:t>
      </w:r>
    </w:p>
    <w:p>
      <w:pPr>
        <w:pStyle w:val="BodyText"/>
      </w:pPr>
      <w:r>
        <w:t xml:space="preserve">Email: finance@meridiantrading.com.my</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QTE-KL-2025-00472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 from date of issue)</w:t>
            </w:r>
          </w:p>
        </w:tc>
      </w:tr>
      <w:tr>
        <w:tc>
          <w:tcPr/>
          <w:p>
            <w:pPr>
              <w:pStyle w:val="Compact"/>
              <w:jc w:val="left"/>
            </w:pPr>
            <w:r>
              <w:t xml:space="preserve">Service Location:</w:t>
            </w:r>
          </w:p>
        </w:tc>
        <w:tc>
          <w:tcPr/>
          <w:p>
            <w:pPr>
              <w:pStyle w:val="Compact"/>
              <w:jc w:val="left"/>
            </w:pPr>
            <w:r>
              <w:t xml:space="preserve">Malaysia Kuala Lumpur (all branches and registered offices)</w:t>
            </w:r>
          </w:p>
        </w:tc>
      </w:tr>
      <w:tr>
        <w:tc>
          <w:tcPr/>
          <w:p>
            <w:pPr>
              <w:pStyle w:val="Compact"/>
              <w:jc w:val="left"/>
            </w:pPr>
            <w:r>
              <w:t xml:space="preserve">Engagement Period:</w:t>
            </w:r>
          </w:p>
        </w:tc>
        <w:tc>
          <w:tcPr/>
          <w:p>
            <w:pPr>
              <w:pStyle w:val="Compact"/>
              <w:jc w:val="left"/>
            </w:pPr>
            <w:r>
              <w:t xml:space="preserve">1 July 2025 to 30 June 2026 (12 months)</w:t>
            </w:r>
          </w:p>
        </w:tc>
      </w:tr>
      <w:tr>
        <w:tc>
          <w:tcPr/>
          <w:p>
            <w:pPr>
              <w:pStyle w:val="Compact"/>
              <w:jc w:val="left"/>
            </w:pPr>
            <w:r>
              <w:t xml:space="preserve">Currency:</w:t>
            </w:r>
          </w:p>
        </w:tc>
        <w:tc>
          <w:tcPr/>
          <w:p>
            <w:pPr>
              <w:pStyle w:val="Compact"/>
              <w:jc w:val="left"/>
            </w:pPr>
            <w:r>
              <w:t xml:space="preserve">Malaysian Ringgit (MYR / RM)</w:t>
            </w:r>
          </w:p>
        </w:tc>
      </w:tr>
    </w:tbl>
    <w:bookmarkStart w:id="23" w:name="scope-of-accountant-services"/>
    <w:p>
      <w:pPr>
        <w:pStyle w:val="Heading2"/>
      </w:pPr>
      <w:r>
        <w:t xml:space="preserve">1. Scope of Accountant Services</w:t>
      </w:r>
    </w:p>
    <w:p>
      <w:pPr>
        <w:pStyle w:val="FirstParagraph"/>
      </w:pPr>
      <w:r>
        <w:t xml:space="preserve">This</w:t>
      </w:r>
      <w:r>
        <w:t xml:space="preserve"> </w:t>
      </w:r>
      <w:r>
        <w:t xml:space="preserve">Quotation Estimate</w:t>
      </w:r>
      <w:r>
        <w:t xml:space="preserve"> </w:t>
      </w:r>
      <w:r>
        <w:t xml:space="preserve">is issued by KL Premier Accountant Solutions Sdn. Bhd. to provide a comprehensive and transparent breakdown of professional</w:t>
      </w:r>
      <w:r>
        <w:t xml:space="preserve"> </w:t>
      </w:r>
      <w:r>
        <w:t xml:space="preserve">Accountant</w:t>
      </w:r>
      <w:r>
        <w:t xml:space="preserve"> </w:t>
      </w:r>
      <w:r>
        <w:t xml:space="preserve">services to be rendered to Meridian Trading &amp; Logistics (M) Sdn. Bhd. The services will be delivered in accordance with the Malaysian Financial Reporting Standards (MFRS), the Companies Act 2016, and the guidelines set forth by the Malaysian Institute of Accountants (MIA). All work will be conducted within the jurisdiction of</w:t>
      </w:r>
      <w:r>
        <w:t xml:space="preserve"> </w:t>
      </w:r>
      <w:r>
        <w:t xml:space="preserve">Malaysia Kuala Lumpur</w:t>
      </w:r>
      <w:r>
        <w:t xml:space="preserve">, ensuring full compliance with local regulatory requirements administered by the Inland Revenue Board of Malaysia (LHDN) and the Companies Commission of Malaysia (SSM).</w:t>
      </w:r>
    </w:p>
    <w:bookmarkEnd w:id="23"/>
    <w:bookmarkStart w:id="24" w:name="itemized-services-and-pricing"/>
    <w:p>
      <w:pPr>
        <w:pStyle w:val="Heading2"/>
      </w:pPr>
      <w:r>
        <w:t xml:space="preserve">2. Itemized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Accountant Service</w:t>
            </w:r>
          </w:p>
        </w:tc>
        <w:tc>
          <w:tcPr/>
          <w:p>
            <w:pPr>
              <w:pStyle w:val="Compact"/>
              <w:jc w:val="left"/>
            </w:pPr>
            <w:r>
              <w:t xml:space="preserve">Frequency</w:t>
            </w:r>
          </w:p>
        </w:tc>
        <w:tc>
          <w:tcPr/>
          <w:p>
            <w:pPr>
              <w:pStyle w:val="Compact"/>
              <w:jc w:val="left"/>
            </w:pPr>
            <w:r>
              <w:t xml:space="preserve">Unit Rate (RM)</w:t>
            </w:r>
          </w:p>
        </w:tc>
        <w:tc>
          <w:tcPr/>
          <w:p>
            <w:pPr>
              <w:pStyle w:val="Compact"/>
              <w:jc w:val="left"/>
            </w:pPr>
            <w:r>
              <w:t xml:space="preserve">Quantity</w:t>
            </w:r>
          </w:p>
        </w:tc>
        <w:tc>
          <w:tcPr/>
          <w:p>
            <w:pPr>
              <w:pStyle w:val="Compact"/>
              <w:jc w:val="left"/>
            </w:pPr>
            <w:r>
              <w:t xml:space="preserve">Amount (RM)</w:t>
            </w:r>
          </w:p>
        </w:tc>
      </w:tr>
      <w:tr>
        <w:tc>
          <w:tcPr/>
          <w:p>
            <w:pPr>
              <w:pStyle w:val="Compact"/>
              <w:jc w:val="left"/>
            </w:pPr>
            <w:r>
              <w:t xml:space="preserve">1</w:t>
            </w:r>
          </w:p>
        </w:tc>
        <w:tc>
          <w:tcPr/>
          <w:p>
            <w:pPr>
              <w:pStyle w:val="Compact"/>
              <w:jc w:val="left"/>
            </w:pPr>
            <w:r>
              <w:t xml:space="preserve">Monthly bookkeeping and ledger maintenance, including accounts receivable, accounts payable, bank reconciliations, and petty cash management for all Kuala Lumpur operations</w:t>
            </w:r>
          </w:p>
        </w:tc>
        <w:tc>
          <w:tcPr/>
          <w:p>
            <w:pPr>
              <w:pStyle w:val="Compact"/>
              <w:jc w:val="left"/>
            </w:pPr>
            <w:r>
              <w:t xml:space="preserve">Monthly</w:t>
            </w:r>
          </w:p>
        </w:tc>
        <w:tc>
          <w:tcPr/>
          <w:p>
            <w:pPr>
              <w:pStyle w:val="Compact"/>
              <w:jc w:val="left"/>
            </w:pPr>
            <w:r>
              <w:t xml:space="preserve">3,500.00</w:t>
            </w:r>
          </w:p>
        </w:tc>
        <w:tc>
          <w:tcPr/>
          <w:p>
            <w:pPr>
              <w:pStyle w:val="Compact"/>
              <w:jc w:val="left"/>
            </w:pPr>
            <w:r>
              <w:t xml:space="preserve">12</w:t>
            </w:r>
          </w:p>
        </w:tc>
        <w:tc>
          <w:tcPr/>
          <w:p>
            <w:pPr>
              <w:pStyle w:val="Compact"/>
              <w:jc w:val="left"/>
            </w:pPr>
            <w:r>
              <w:t xml:space="preserve">42,000.00</w:t>
            </w:r>
          </w:p>
        </w:tc>
      </w:tr>
      <w:tr>
        <w:tc>
          <w:tcPr/>
          <w:p>
            <w:pPr>
              <w:pStyle w:val="Compact"/>
              <w:jc w:val="left"/>
            </w:pPr>
            <w:r>
              <w:t xml:space="preserve">2</w:t>
            </w:r>
          </w:p>
        </w:tc>
        <w:tc>
          <w:tcPr/>
          <w:p>
            <w:pPr>
              <w:pStyle w:val="Compact"/>
              <w:jc w:val="left"/>
            </w:pPr>
            <w:r>
              <w:t xml:space="preserve">Preparation and filing of monthly statutory tax returns (Form B, Form C, and e-Billing submissions) with LHDN Malaysia Kuala Lumpur regional office</w:t>
            </w:r>
          </w:p>
        </w:tc>
        <w:tc>
          <w:tcPr/>
          <w:p>
            <w:pPr>
              <w:pStyle w:val="Compact"/>
              <w:jc w:val="left"/>
            </w:pPr>
            <w:r>
              <w:t xml:space="preserve">Monthly</w:t>
            </w:r>
          </w:p>
        </w:tc>
        <w:tc>
          <w:tcPr/>
          <w:p>
            <w:pPr>
              <w:pStyle w:val="Compact"/>
              <w:jc w:val="left"/>
            </w:pPr>
            <w:r>
              <w:t xml:space="preserve">1,200.00</w:t>
            </w:r>
          </w:p>
        </w:tc>
        <w:tc>
          <w:tcPr/>
          <w:p>
            <w:pPr>
              <w:pStyle w:val="Compact"/>
              <w:jc w:val="left"/>
            </w:pPr>
            <w:r>
              <w:t xml:space="preserve">12</w:t>
            </w:r>
          </w:p>
        </w:tc>
        <w:tc>
          <w:tcPr/>
          <w:p>
            <w:pPr>
              <w:pStyle w:val="Compact"/>
              <w:jc w:val="left"/>
            </w:pPr>
            <w:r>
              <w:t xml:space="preserve">14,400.00</w:t>
            </w:r>
          </w:p>
        </w:tc>
      </w:tr>
      <w:tr>
        <w:tc>
          <w:tcPr/>
          <w:p>
            <w:pPr>
              <w:pStyle w:val="Compact"/>
              <w:jc w:val="left"/>
            </w:pPr>
            <w:r>
              <w:t xml:space="preserve">3</w:t>
            </w:r>
          </w:p>
        </w:tc>
        <w:tc>
          <w:tcPr/>
          <w:p>
            <w:pPr>
              <w:pStyle w:val="Compact"/>
              <w:jc w:val="left"/>
            </w:pPr>
            <w:r>
              <w:t xml:space="preserve">Preparation of quarterly financial statements and management accounts in compliance with MFRS for SMEs, reviewed by a certified Accountant</w:t>
            </w:r>
          </w:p>
        </w:tc>
        <w:tc>
          <w:tcPr/>
          <w:p>
            <w:pPr>
              <w:pStyle w:val="Compact"/>
              <w:jc w:val="left"/>
            </w:pPr>
            <w:r>
              <w:t xml:space="preserve">Quarterly</w:t>
            </w:r>
          </w:p>
        </w:tc>
        <w:tc>
          <w:tcPr/>
          <w:p>
            <w:pPr>
              <w:pStyle w:val="Compact"/>
              <w:jc w:val="left"/>
            </w:pPr>
            <w:r>
              <w:t xml:space="preserve">4,800.00</w:t>
            </w:r>
          </w:p>
        </w:tc>
        <w:tc>
          <w:tcPr/>
          <w:p>
            <w:pPr>
              <w:pStyle w:val="Compact"/>
              <w:jc w:val="left"/>
            </w:pPr>
            <w:r>
              <w:t xml:space="preserve">4</w:t>
            </w:r>
          </w:p>
        </w:tc>
        <w:tc>
          <w:tcPr/>
          <w:p>
            <w:pPr>
              <w:pStyle w:val="Compact"/>
              <w:jc w:val="left"/>
            </w:pPr>
            <w:r>
              <w:t xml:space="preserve">19,200.00</w:t>
            </w:r>
          </w:p>
        </w:tc>
      </w:tr>
      <w:tr>
        <w:tc>
          <w:tcPr/>
          <w:p>
            <w:pPr>
              <w:pStyle w:val="Compact"/>
              <w:jc w:val="left"/>
            </w:pPr>
            <w:r>
              <w:t xml:space="preserve">4</w:t>
            </w:r>
          </w:p>
        </w:tc>
        <w:tc>
          <w:tcPr/>
          <w:p>
            <w:pPr>
              <w:pStyle w:val="Compact"/>
              <w:jc w:val="left"/>
            </w:pPr>
            <w:r>
              <w:t xml:space="preserve">Annual audit support, statutory audit preparation, and coordination with external auditors for the fiscal year ending 31 December 2025</w:t>
            </w:r>
          </w:p>
        </w:tc>
        <w:tc>
          <w:tcPr/>
          <w:p>
            <w:pPr>
              <w:pStyle w:val="Compact"/>
              <w:jc w:val="left"/>
            </w:pPr>
            <w:r>
              <w:t xml:space="preserve">Annual</w:t>
            </w:r>
          </w:p>
        </w:tc>
        <w:tc>
          <w:tcPr/>
          <w:p>
            <w:pPr>
              <w:pStyle w:val="Compact"/>
              <w:jc w:val="left"/>
            </w:pPr>
            <w:r>
              <w:t xml:space="preserve">8,500.00</w:t>
            </w:r>
          </w:p>
        </w:tc>
        <w:tc>
          <w:tcPr/>
          <w:p>
            <w:pPr>
              <w:pStyle w:val="Compact"/>
              <w:jc w:val="left"/>
            </w:pPr>
            <w:r>
              <w:t xml:space="preserve">1</w:t>
            </w:r>
          </w:p>
        </w:tc>
        <w:tc>
          <w:tcPr/>
          <w:p>
            <w:pPr>
              <w:pStyle w:val="Compact"/>
              <w:jc w:val="left"/>
            </w:pPr>
            <w:r>
              <w:t xml:space="preserve">8,500.00</w:t>
            </w:r>
          </w:p>
        </w:tc>
      </w:tr>
      <w:tr>
        <w:tc>
          <w:tcPr/>
          <w:p>
            <w:pPr>
              <w:pStyle w:val="Compact"/>
              <w:jc w:val="left"/>
            </w:pPr>
            <w:r>
              <w:t xml:space="preserve">5</w:t>
            </w:r>
          </w:p>
        </w:tc>
        <w:tc>
          <w:tcPr/>
          <w:p>
            <w:pPr>
              <w:pStyle w:val="Compact"/>
              <w:jc w:val="left"/>
            </w:pPr>
            <w:r>
              <w:t xml:space="preserve">EPF (KWSP), SOCSO, EIS, and PCB payroll processing and statutory contributions for up to 50 employees based in Malaysia Kuala Lumpur</w:t>
            </w:r>
          </w:p>
        </w:tc>
        <w:tc>
          <w:tcPr/>
          <w:p>
            <w:pPr>
              <w:pStyle w:val="Compact"/>
              <w:jc w:val="left"/>
            </w:pPr>
            <w:r>
              <w:t xml:space="preserve">Monthly</w:t>
            </w:r>
          </w:p>
        </w:tc>
        <w:tc>
          <w:tcPr/>
          <w:p>
            <w:pPr>
              <w:pStyle w:val="Compact"/>
              <w:jc w:val="left"/>
            </w:pPr>
            <w:r>
              <w:t xml:space="preserve">2,200.00</w:t>
            </w:r>
          </w:p>
        </w:tc>
        <w:tc>
          <w:tcPr/>
          <w:p>
            <w:pPr>
              <w:pStyle w:val="Compact"/>
              <w:jc w:val="left"/>
            </w:pPr>
            <w:r>
              <w:t xml:space="preserve">12</w:t>
            </w:r>
          </w:p>
        </w:tc>
        <w:tc>
          <w:tcPr/>
          <w:p>
            <w:pPr>
              <w:pStyle w:val="Compact"/>
              <w:jc w:val="left"/>
            </w:pPr>
            <w:r>
              <w:t xml:space="preserve">26,400.00</w:t>
            </w:r>
          </w:p>
        </w:tc>
      </w:tr>
      <w:tr>
        <w:tc>
          <w:tcPr/>
          <w:p>
            <w:pPr>
              <w:pStyle w:val="Compact"/>
              <w:jc w:val="left"/>
            </w:pPr>
            <w:r>
              <w:t xml:space="preserve">6</w:t>
            </w:r>
          </w:p>
        </w:tc>
        <w:tc>
          <w:tcPr/>
          <w:p>
            <w:pPr>
              <w:pStyle w:val="Compact"/>
              <w:jc w:val="left"/>
            </w:pPr>
            <w:r>
              <w:t xml:space="preserve">Corporate tax planning, transfer pricing documentation, and advisory services on double taxation agreements relevant to the client's cross-border operations</w:t>
            </w:r>
          </w:p>
        </w:tc>
        <w:tc>
          <w:tcPr/>
          <w:p>
            <w:pPr>
              <w:pStyle w:val="Compact"/>
              <w:jc w:val="left"/>
            </w:pPr>
            <w:r>
              <w:t xml:space="preserve">As required</w:t>
            </w:r>
          </w:p>
        </w:tc>
        <w:tc>
          <w:tcPr/>
          <w:p>
            <w:pPr>
              <w:pStyle w:val="Compact"/>
              <w:jc w:val="left"/>
            </w:pPr>
            <w:r>
              <w:t xml:space="preserve">350.00</w:t>
            </w:r>
          </w:p>
        </w:tc>
        <w:tc>
          <w:tcPr/>
          <w:p>
            <w:pPr>
              <w:pStyle w:val="Compact"/>
              <w:jc w:val="left"/>
            </w:pPr>
            <w:r>
              <w:t xml:space="preserve">8 hrs</w:t>
            </w:r>
          </w:p>
        </w:tc>
        <w:tc>
          <w:tcPr/>
          <w:p>
            <w:pPr>
              <w:pStyle w:val="Compact"/>
              <w:jc w:val="left"/>
            </w:pPr>
            <w:r>
              <w:t xml:space="preserve">2,800.00</w:t>
            </w:r>
          </w:p>
        </w:tc>
      </w:tr>
      <w:tr>
        <w:tc>
          <w:tcPr/>
          <w:p>
            <w:pPr>
              <w:pStyle w:val="Compact"/>
              <w:jc w:val="left"/>
            </w:pPr>
            <w:r>
              <w:t xml:space="preserve">7</w:t>
            </w:r>
          </w:p>
        </w:tc>
        <w:tc>
          <w:tcPr/>
          <w:p>
            <w:pPr>
              <w:pStyle w:val="Compact"/>
              <w:jc w:val="left"/>
            </w:pPr>
            <w:r>
              <w:t xml:space="preserve">Annual SSM (Companies Commission) filing, AGM support, and maintenance of statutory registers for the company registered in Malaysia Kuala Lumpur</w:t>
            </w:r>
          </w:p>
        </w:tc>
        <w:tc>
          <w:tcPr/>
          <w:p>
            <w:pPr>
              <w:pStyle w:val="Compact"/>
              <w:jc w:val="left"/>
            </w:pPr>
            <w:r>
              <w:t xml:space="preserve">Annual</w:t>
            </w:r>
          </w:p>
        </w:tc>
        <w:tc>
          <w:tcPr/>
          <w:p>
            <w:pPr>
              <w:pStyle w:val="Compact"/>
              <w:jc w:val="left"/>
            </w:pPr>
            <w:r>
              <w:t xml:space="preserve">3,200.00</w:t>
            </w:r>
          </w:p>
        </w:tc>
        <w:tc>
          <w:tcPr/>
          <w:p>
            <w:pPr>
              <w:pStyle w:val="Compact"/>
              <w:jc w:val="left"/>
            </w:pPr>
            <w:r>
              <w:t xml:space="preserve">1</w:t>
            </w:r>
          </w:p>
        </w:tc>
        <w:tc>
          <w:tcPr/>
          <w:p>
            <w:pPr>
              <w:pStyle w:val="Compact"/>
              <w:jc w:val="left"/>
            </w:pPr>
            <w:r>
              <w:t xml:space="preserve">3,200.00</w:t>
            </w:r>
          </w:p>
        </w:tc>
      </w:tr>
      <w:tr>
        <w:tc>
          <w:tcPr/>
          <w:p>
            <w:pPr>
              <w:pStyle w:val="Compact"/>
              <w:jc w:val="left"/>
            </w:pPr>
            <w:r>
              <w:t xml:space="preserve">8</w:t>
            </w:r>
          </w:p>
        </w:tc>
        <w:tc>
          <w:tcPr/>
          <w:p>
            <w:pPr>
              <w:pStyle w:val="Compact"/>
              <w:jc w:val="left"/>
            </w:pPr>
            <w:r>
              <w:t xml:space="preserve">Dedicated Accountant liaison officer (on-site at client's Wisma Damansara office, 3 days per week) for day-to-day financial queries and reporting</w:t>
            </w:r>
          </w:p>
        </w:tc>
        <w:tc>
          <w:tcPr/>
          <w:p>
            <w:pPr>
              <w:pStyle w:val="Compact"/>
              <w:jc w:val="left"/>
            </w:pPr>
            <w:r>
              <w:t xml:space="preserve">Monthly</w:t>
            </w:r>
          </w:p>
        </w:tc>
        <w:tc>
          <w:tcPr/>
          <w:p>
            <w:pPr>
              <w:pStyle w:val="Compact"/>
              <w:jc w:val="left"/>
            </w:pPr>
            <w:r>
              <w:t xml:space="preserve">5,500.00</w:t>
            </w:r>
          </w:p>
        </w:tc>
        <w:tc>
          <w:tcPr/>
          <w:p>
            <w:pPr>
              <w:pStyle w:val="Compact"/>
              <w:jc w:val="left"/>
            </w:pPr>
            <w:r>
              <w:t xml:space="preserve">12</w:t>
            </w:r>
          </w:p>
        </w:tc>
        <w:tc>
          <w:tcPr/>
          <w:p>
            <w:pPr>
              <w:pStyle w:val="Compact"/>
              <w:jc w:val="left"/>
            </w:pPr>
            <w:r>
              <w:t xml:space="preserve">66,000.00</w:t>
            </w:r>
          </w:p>
        </w:tc>
      </w:tr>
      <w:tr>
        <w:tc>
          <w:tcPr>
            <w:gridSpan w:val="5"/>
          </w:tcPr>
          <w:p>
            <w:pPr>
              <w:pStyle w:val="Compact"/>
              <w:jc w:val="right"/>
            </w:pPr>
            <w:r>
              <w:t xml:space="preserve">Subtotal</w:t>
            </w:r>
          </w:p>
        </w:tc>
        <w:tc>
          <w:tcPr/>
          <w:p>
            <w:pPr>
              <w:pStyle w:val="Compact"/>
              <w:jc w:val="left"/>
            </w:pPr>
            <w:r>
              <w:t xml:space="preserve">182,500.00</w:t>
            </w:r>
          </w:p>
        </w:tc>
      </w:tr>
      <w:tr>
        <w:tc>
          <w:tcPr>
            <w:gridSpan w:val="5"/>
          </w:tcPr>
          <w:p>
            <w:pPr>
              <w:pStyle w:val="Compact"/>
              <w:jc w:val="right"/>
            </w:pPr>
            <w:r>
              <w:t xml:space="preserve">Service Tax (8% SST)</w:t>
            </w:r>
          </w:p>
        </w:tc>
        <w:tc>
          <w:tcPr/>
          <w:p>
            <w:pPr>
              <w:pStyle w:val="Compact"/>
              <w:jc w:val="left"/>
            </w:pPr>
            <w:r>
              <w:t xml:space="preserve">14,600.00</w:t>
            </w:r>
          </w:p>
        </w:tc>
      </w:tr>
      <w:tr>
        <w:tc>
          <w:tcPr>
            <w:gridSpan w:val="5"/>
          </w:tcPr>
          <w:p>
            <w:pPr>
              <w:pStyle w:val="Compact"/>
              <w:jc w:val="right"/>
            </w:pPr>
            <w:r>
              <w:t xml:space="preserve">TOTAL QUOTATION ESTIMATE AMOUNT</w:t>
            </w:r>
          </w:p>
        </w:tc>
        <w:tc>
          <w:tcPr/>
          <w:p>
            <w:pPr>
              <w:pStyle w:val="Compact"/>
              <w:jc w:val="left"/>
            </w:pPr>
            <w:r>
              <w:t xml:space="preserve">RM 197,100.00</w:t>
            </w:r>
          </w:p>
        </w:tc>
      </w:tr>
    </w:tbl>
    <w:p>
      <w:pPr>
        <w:pStyle w:val="BodyText"/>
      </w:pPr>
      <w:r>
        <w:rPr>
          <w:bCs/>
          <w:b/>
        </w:rPr>
        <w:t xml:space="preserve">Note:</w:t>
      </w:r>
      <w:r>
        <w:t xml:space="preserve"> </w:t>
      </w:r>
      <w:r>
        <w:t xml:space="preserve">This Quotation Estimate is valid for thirty (30) calendar days from the date of issue. Any services rendered beyond the scope outlined above, or additional hours required for the dedicated Accountant liaison officer, will be billed at a rate of RM 350.00 per hour and will be subject to a separate supplementary quotation. All prices are exclusive of any applicable government levies or third-party filing fees imposed by LHDN or SSM.</w:t>
      </w:r>
    </w:p>
    <w:bookmarkEnd w:id="24"/>
    <w:bookmarkStart w:id="25" w:name="terms-and-conditions"/>
    <w:p>
      <w:pPr>
        <w:pStyle w:val="Heading2"/>
      </w:pPr>
      <w:r>
        <w:t xml:space="preserve">3. Terms and Conditions</w:t>
      </w:r>
    </w:p>
    <w:p>
      <w:pPr>
        <w:numPr>
          <w:ilvl w:val="0"/>
          <w:numId w:val="1001"/>
        </w:numPr>
        <w:pStyle w:val="Compact"/>
      </w:pPr>
      <w:r>
        <w:t xml:space="preserve">This Quotation Estimate constitutes a formal offer by KL Premier Accountant Solutions Sdn. Bhd. and is binding upon written acceptance by the client. The offer is specific to the services described herein and is intended solely for the use of Meridian Trading &amp; Logistics (M) Sdn. Bhd. in Malaysia Kuala Lumpur.</w:t>
      </w:r>
    </w:p>
    <w:p>
      <w:pPr>
        <w:numPr>
          <w:ilvl w:val="0"/>
          <w:numId w:val="1001"/>
        </w:numPr>
        <w:pStyle w:val="Compact"/>
      </w:pPr>
      <w:r>
        <w:t xml:space="preserve">Payment terms: 50% of the total Quotation Estimate amount shall be due upon execution of the service agreement, and the remaining 50% shall be invoiced monthly in arrears, payable within fourteen (14) calendar days of the invoice date. Late payments shall attract interest at the rate of 1.5% per month or the maximum rate permitted under Malaysian law, whichever is lower.</w:t>
      </w:r>
    </w:p>
    <w:p>
      <w:pPr>
        <w:numPr>
          <w:ilvl w:val="0"/>
          <w:numId w:val="1001"/>
        </w:numPr>
        <w:pStyle w:val="Compact"/>
      </w:pPr>
      <w:r>
        <w:t xml:space="preserve">The Accountant services described in this Quotation Estimate shall be performed by qualified and MIA-registered professionals. The client shall provide timely access to all financial records, bank statements, and supporting documentation necessary for the execution of the engagement.</w:t>
      </w:r>
    </w:p>
    <w:p>
      <w:pPr>
        <w:numPr>
          <w:ilvl w:val="0"/>
          <w:numId w:val="1001"/>
        </w:numPr>
        <w:pStyle w:val="Compact"/>
      </w:pPr>
      <w:r>
        <w:t xml:space="preserve">All work product, including financial statements, tax filings, and advisory reports, shall be prepared in accordance with the laws of Malaysia and the professional standards of the Malaysian Institute of Accountants. The services are to be delivered at the client's premises in Malaysia Kuala Lumpur unless otherwise agreed in writing.</w:t>
      </w:r>
    </w:p>
    <w:p>
      <w:pPr>
        <w:numPr>
          <w:ilvl w:val="0"/>
          <w:numId w:val="1001"/>
        </w:numPr>
        <w:pStyle w:val="Compact"/>
      </w:pPr>
      <w:r>
        <w:t xml:space="preserve">Confidentiality: The Accountant and all supporting staff shall maintain strict confidentiality over all financial and commercial information of the client. This obligation shall survive the termination of the engagement for a period of five (5) years.</w:t>
      </w:r>
    </w:p>
    <w:p>
      <w:pPr>
        <w:numPr>
          <w:ilvl w:val="0"/>
          <w:numId w:val="1001"/>
        </w:numPr>
        <w:pStyle w:val="Compact"/>
      </w:pPr>
      <w:r>
        <w:t xml:space="preserve">Either party may terminate this engagement with thirty (30) days written notice. Upon termination, the client shall be liable for all services rendered up to the effective date of termination, as itemized in a final Quotation Estimate or invoice.</w:t>
      </w:r>
    </w:p>
    <w:p>
      <w:pPr>
        <w:numPr>
          <w:ilvl w:val="0"/>
          <w:numId w:val="1001"/>
        </w:numPr>
        <w:pStyle w:val="Compact"/>
      </w:pPr>
      <w:r>
        <w:t xml:space="preserve">This Quotation Estimate is governed by and shall be construed in accordance with the laws of Malaysia. Any disputes arising from this engagement shall be subject to the exclusive jurisdiction of the courts of Malaysia Kuala Lumpur.</w:t>
      </w:r>
    </w:p>
    <w:p>
      <w:pPr>
        <w:numPr>
          <w:ilvl w:val="0"/>
          <w:numId w:val="1001"/>
        </w:numPr>
        <w:pStyle w:val="Compact"/>
      </w:pPr>
      <w:r>
        <w:t xml:space="preserve">Force Majeure: Neither party shall be liable for failure to perform obligations due to events beyond reasonable control, including but not limited to natural disasters, government-imposed restrictions, or pandemics affecting operations in Malaysia Kuala Lumpur.</w:t>
      </w:r>
    </w:p>
    <w:bookmarkEnd w:id="25"/>
    <w:bookmarkStart w:id="26" w:name="acceptance"/>
    <w:p>
      <w:pPr>
        <w:pStyle w:val="Heading2"/>
      </w:pPr>
      <w:r>
        <w:t xml:space="preserve">4. Acceptance</w:t>
      </w:r>
    </w:p>
    <w:p>
      <w:pPr>
        <w:pStyle w:val="FirstParagraph"/>
      </w:pPr>
      <w:r>
        <w:t xml:space="preserve">By signing below, the client acknowledges receipt of this Quotation Estimate and agrees to the terms, conditions, and pricing outlined in this document for the provision of Accountant services in Malaysia Kuala Lumpur.</w:t>
      </w:r>
    </w:p>
    <w:p>
      <w:pPr>
        <w:pStyle w:val="BodyText"/>
      </w:pPr>
      <w:r>
        <w:t xml:space="preserve">For and on behalf of KL Premier Accountant Solutions Sdn. Bhd.:</w:t>
      </w:r>
    </w:p>
    <w:p>
      <w:pPr>
        <w:pStyle w:val="BodyText"/>
      </w:pPr>
      <w:r>
        <w:t xml:space="preserve">Name:</w:t>
      </w:r>
      <w:r>
        <w:t xml:space="preserve"> </w:t>
      </w:r>
      <w:r>
        <w:rPr>
          <w:bCs/>
          <w:b/>
        </w:rPr>
        <w:t xml:space="preserve">Lim Siew Lan, CPA (M)</w:t>
      </w:r>
    </w:p>
    <w:p>
      <w:pPr>
        <w:pStyle w:val="BodyText"/>
      </w:pPr>
      <w:r>
        <w:t xml:space="preserve">Designation: Managing Director &amp; Lead Accountant</w:t>
      </w:r>
    </w:p>
    <w:p>
      <w:pPr>
        <w:pStyle w:val="BodyText"/>
      </w:pPr>
      <w:r>
        <w:t xml:space="preserve">Signature: ___________________________</w:t>
      </w:r>
    </w:p>
    <w:p>
      <w:pPr>
        <w:pStyle w:val="BodyText"/>
      </w:pPr>
      <w:r>
        <w:t xml:space="preserve">Date: ___________________________</w:t>
      </w:r>
    </w:p>
    <w:p>
      <w:pPr>
        <w:pStyle w:val="BodyText"/>
      </w:pPr>
      <w:r>
        <w:t xml:space="preserve">For and on behalf of Meridian Trading &amp; Logistics (M) Sdn. Bhd.:</w:t>
      </w:r>
    </w:p>
    <w:p>
      <w:pPr>
        <w:pStyle w:val="BodyText"/>
      </w:pPr>
      <w:r>
        <w:t xml:space="preserve">Name:</w:t>
      </w:r>
      <w:r>
        <w:t xml:space="preserve"> </w:t>
      </w:r>
      <w:r>
        <w:rPr>
          <w:bCs/>
          <w:b/>
        </w:rPr>
        <w:t xml:space="preserve">Tan Wei Keat</w:t>
      </w:r>
    </w:p>
    <w:p>
      <w:pPr>
        <w:pStyle w:val="BodyText"/>
      </w:pPr>
      <w:r>
        <w:t xml:space="preserve">Designation: Finance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KL Premier Accountant Solutions Sdn. Bhd.</w:t>
      </w:r>
      <w:r>
        <w:t xml:space="preserve"> </w:t>
      </w:r>
      <w:r>
        <w:t xml:space="preserve">| Registration No: 201901045678 (K) | SST Reg: 001905678234</w:t>
      </w:r>
    </w:p>
    <w:p>
      <w:pPr>
        <w:pStyle w:val="BodyText"/>
      </w:pPr>
      <w:r>
        <w:t xml:space="preserve">Level 12, Menara Sentral, Jalan Stesen Sentral 5, 50470 Kuala Lumpur, Malaysia</w:t>
      </w:r>
    </w:p>
    <w:p>
      <w:pPr>
        <w:pStyle w:val="BodyText"/>
      </w:pPr>
      <w:r>
        <w:t xml:space="preserve">This Quotation Estimate is a confidential document intended solely for the named recipient. Unauthorized reproduction or distribution is prohibited.</w:t>
      </w:r>
    </w:p>
    <w:p>
      <w:pPr>
        <w:pStyle w:val="BodyText"/>
      </w:pPr>
      <w:r>
        <w:t xml:space="preserve">Page 1 of 1 | Generated: 14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Malaysia Kuala Lumpur</dc:title>
  <dc:creator/>
  <dc:language>en</dc:language>
  <cp:keywords/>
  <dcterms:created xsi:type="dcterms:W3CDTF">2026-10-10T08:38:21Z</dcterms:created>
  <dcterms:modified xsi:type="dcterms:W3CDTF">2026-10-10T08:38:21Z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