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l-financial-advisory-b.v."/>
    <w:p>
      <w:pPr>
        <w:pStyle w:val="Heading1"/>
      </w:pPr>
      <w:r>
        <w:t xml:space="preserve">Amstel Financial Advisory B.V.</w:t>
      </w:r>
    </w:p>
    <w:p>
      <w:pPr>
        <w:pStyle w:val="FirstParagraph"/>
      </w:pPr>
      <w:r>
        <w:t xml:space="preserve">Herengracht 452, 1017 CA Amsterdam, The Netherlands</w:t>
      </w:r>
    </w:p>
    <w:p>
      <w:pPr>
        <w:pStyle w:val="BodyText"/>
      </w:pPr>
      <w:r>
        <w:t xml:space="preserve">KvK: 87654321 | BTW: NL861234567B01 | Tel: +31 20 123 4567 | Email: info@amstelfinancial.nl</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Mr. J. van der Berg, Senior Accountant</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 B.V.</w:t>
      </w:r>
    </w:p>
    <w:p>
      <w:pPr>
        <w:pStyle w:val="BodyText"/>
      </w:pPr>
      <w:r>
        <w:rPr>
          <w:bCs/>
          <w:b/>
        </w:rPr>
        <w:t xml:space="preserve">Address:</w:t>
      </w:r>
      <w:r>
        <w:t xml:space="preserve"> </w:t>
      </w:r>
      <w:r>
        <w:t xml:space="preserve">[Street Address], 1011 XX Amsterdam, The Netherlands</w:t>
      </w:r>
    </w:p>
    <w:p>
      <w:pPr>
        <w:pStyle w:val="BodyText"/>
      </w:pPr>
      <w:r>
        <w:rPr>
          <w:bCs/>
          <w:b/>
        </w:rPr>
        <w:t xml:space="preserve">KvK Number:</w:t>
      </w:r>
      <w:r>
        <w:t xml:space="preserve"> </w:t>
      </w:r>
      <w:r>
        <w:t xml:space="preserve">[To be confirmed]</w:t>
      </w:r>
    </w:p>
    <w:p>
      <w:pPr>
        <w:pStyle w:val="BodyText"/>
      </w:pPr>
      <w:r>
        <w:rPr>
          <w:bCs/>
          <w:b/>
        </w:rPr>
        <w:t xml:space="preserve">Contact Person:</w:t>
      </w:r>
      <w:r>
        <w:t xml:space="preserve"> </w:t>
      </w:r>
      <w:r>
        <w:t xml:space="preserve">[Name], Director</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has been prepared by Amstel Financial Advisory B.V. to provide a comprehensive and transparent overview of the professional</w:t>
      </w:r>
      <w:r>
        <w:t xml:space="preserve"> </w:t>
      </w:r>
      <w:r>
        <w:t xml:space="preserve">Accountant</w:t>
      </w:r>
      <w:r>
        <w:t xml:space="preserve"> </w:t>
      </w:r>
      <w:r>
        <w:t xml:space="preserve">services that will be rendered to the client in the city of</w:t>
      </w:r>
      <w:r>
        <w:t xml:space="preserve"> </w:t>
      </w:r>
      <w:r>
        <w:t xml:space="preserve">Netherlands Amsterdam</w:t>
      </w:r>
      <w:r>
        <w:t xml:space="preserve">. This document outlines the full scope of work, the associated fees, the applicable tax rates, and the terms under which the engagement will be conducted. The</w:t>
      </w:r>
      <w:r>
        <w:t xml:space="preserve"> </w:t>
      </w:r>
      <w:r>
        <w:t xml:space="preserve">Quotation Estimate</w:t>
      </w:r>
      <w:r>
        <w:t xml:space="preserve"> </w:t>
      </w:r>
      <w:r>
        <w:t xml:space="preserve">is issued in accordance with the professional standards set by the Dutch Association of Accountants (SRA) and complies with all regulatory requirements of the Dutch Tax Administration (Belastingdienst) as applicable in the Amsterdam metropolitan area.</w:t>
      </w:r>
    </w:p>
    <w:p>
      <w:pPr>
        <w:pStyle w:val="BodyText"/>
      </w:pPr>
      <w:r>
        <w:t xml:space="preserve">2. Description of Accountant Services</w:t>
      </w:r>
    </w:p>
    <w:p>
      <w:pPr>
        <w:pStyle w:val="BodyText"/>
      </w:pPr>
      <w:r>
        <w:t xml:space="preserve">As a certified</w:t>
      </w:r>
      <w:r>
        <w:t xml:space="preserve"> </w:t>
      </w:r>
      <w:r>
        <w:t xml:space="preserve">Accountant</w:t>
      </w:r>
      <w:r>
        <w:t xml:space="preserve"> </w:t>
      </w:r>
      <w:r>
        <w:t xml:space="preserve">operating in</w:t>
      </w:r>
      <w:r>
        <w:t xml:space="preserve"> </w:t>
      </w:r>
      <w:r>
        <w:t xml:space="preserve">Netherlands Amsterdam</w:t>
      </w:r>
      <w:r>
        <w:t xml:space="preserve">, our firm is pleased to offer the following range of services tailored to the specific financial and tax needs of your business. The</w:t>
      </w:r>
      <w:r>
        <w:t xml:space="preserve"> </w:t>
      </w:r>
      <w:r>
        <w:t xml:space="preserve">Accountant</w:t>
      </w:r>
      <w:r>
        <w:t xml:space="preserve"> </w:t>
      </w:r>
      <w:r>
        <w:t xml:space="preserve">engagement will cover the fiscal year 2025 and will be conducted in full compliance with Dutch accounting standards (NJA) and international reporting frameworks where applicable. All services will be delivered by a qualified</w:t>
      </w:r>
      <w:r>
        <w:t xml:space="preserve"> </w:t>
      </w:r>
      <w:r>
        <w:t xml:space="preserve">Accountant</w:t>
      </w:r>
      <w:r>
        <w:t xml:space="preserve"> </w:t>
      </w:r>
      <w:r>
        <w:t xml:space="preserve">with extensive experience in the Amsterdam business environment, ensuring that your financial affairs are managed with the highest degree of professionalism and regulatory accuracy.</w:t>
      </w:r>
    </w:p>
    <w:p>
      <w:pPr>
        <w:pStyle w:val="BodyText"/>
      </w:pPr>
      <w:r>
        <w:t xml:space="preserve">3. Detailed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Rate (EUR)</w:t>
            </w:r>
          </w:p>
        </w:tc>
        <w:tc>
          <w:tcPr/>
          <w:p>
            <w:pPr>
              <w:pStyle w:val="Compact"/>
              <w:jc w:val="left"/>
            </w:pPr>
            <w:r>
              <w:t xml:space="preserve">Estimated Hours</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Annual financial statements preparation and statutory audit (NJA compliant)</w:t>
            </w:r>
          </w:p>
        </w:tc>
        <w:tc>
          <w:tcPr/>
          <w:p>
            <w:pPr>
              <w:pStyle w:val="Compact"/>
              <w:jc w:val="left"/>
            </w:pPr>
            <w:r>
              <w:t xml:space="preserve">Annual</w:t>
            </w:r>
          </w:p>
        </w:tc>
        <w:tc>
          <w:tcPr/>
          <w:p>
            <w:pPr>
              <w:pStyle w:val="Compact"/>
              <w:jc w:val="left"/>
            </w:pPr>
            <w:r>
              <w:t xml:space="preserve">€120.00</w:t>
            </w:r>
          </w:p>
        </w:tc>
        <w:tc>
          <w:tcPr/>
          <w:p>
            <w:pPr>
              <w:pStyle w:val="Compact"/>
              <w:jc w:val="left"/>
            </w:pPr>
            <w:r>
              <w:t xml:space="preserve">45</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Corporate income tax return (IB/WB) filing and advisory</w:t>
            </w:r>
          </w:p>
        </w:tc>
        <w:tc>
          <w:tcPr/>
          <w:p>
            <w:pPr>
              <w:pStyle w:val="Compact"/>
              <w:jc w:val="left"/>
            </w:pPr>
            <w:r>
              <w:t xml:space="preserve">Annual</w:t>
            </w:r>
          </w:p>
        </w:tc>
        <w:tc>
          <w:tcPr/>
          <w:p>
            <w:pPr>
              <w:pStyle w:val="Compact"/>
              <w:jc w:val="left"/>
            </w:pPr>
            <w:r>
              <w:t xml:space="preserve">€110.00</w:t>
            </w:r>
          </w:p>
        </w:tc>
        <w:tc>
          <w:tcPr/>
          <w:p>
            <w:pPr>
              <w:pStyle w:val="Compact"/>
              <w:jc w:val="left"/>
            </w:pPr>
            <w:r>
              <w:t xml:space="preserve">30</w:t>
            </w:r>
          </w:p>
        </w:tc>
        <w:tc>
          <w:tcPr/>
          <w:p>
            <w:pPr>
              <w:pStyle w:val="Compact"/>
              <w:jc w:val="left"/>
            </w:pPr>
            <w:r>
              <w:t xml:space="preserve">€3,300.00</w:t>
            </w:r>
          </w:p>
        </w:tc>
      </w:tr>
      <w:tr>
        <w:tc>
          <w:tcPr/>
          <w:p>
            <w:pPr>
              <w:pStyle w:val="Compact"/>
              <w:jc w:val="left"/>
            </w:pPr>
            <w:r>
              <w:t xml:space="preserve">03</w:t>
            </w:r>
          </w:p>
        </w:tc>
        <w:tc>
          <w:tcPr/>
          <w:p>
            <w:pPr>
              <w:pStyle w:val="Compact"/>
              <w:jc w:val="left"/>
            </w:pPr>
            <w:r>
              <w:t xml:space="preserve">VAT (BTW) returns and quarterly filings with Belastingdienst</w:t>
            </w:r>
          </w:p>
        </w:tc>
        <w:tc>
          <w:tcPr/>
          <w:p>
            <w:pPr>
              <w:pStyle w:val="Compact"/>
              <w:jc w:val="left"/>
            </w:pPr>
            <w:r>
              <w:t xml:space="preserve">Quarterly</w:t>
            </w:r>
          </w:p>
        </w:tc>
        <w:tc>
          <w:tcPr/>
          <w:p>
            <w:pPr>
              <w:pStyle w:val="Compact"/>
              <w:jc w:val="left"/>
            </w:pPr>
            <w:r>
              <w:t xml:space="preserve">€95.00</w:t>
            </w:r>
          </w:p>
        </w:tc>
        <w:tc>
          <w:tcPr/>
          <w:p>
            <w:pPr>
              <w:pStyle w:val="Compact"/>
              <w:jc w:val="left"/>
            </w:pPr>
            <w:r>
              <w:t xml:space="preserve">12</w:t>
            </w:r>
          </w:p>
        </w:tc>
        <w:tc>
          <w:tcPr/>
          <w:p>
            <w:pPr>
              <w:pStyle w:val="Compact"/>
              <w:jc w:val="left"/>
            </w:pPr>
            <w:r>
              <w:t xml:space="preserve">€1,140.00</w:t>
            </w:r>
          </w:p>
        </w:tc>
      </w:tr>
      <w:tr>
        <w:tc>
          <w:tcPr/>
          <w:p>
            <w:pPr>
              <w:pStyle w:val="Compact"/>
              <w:jc w:val="left"/>
            </w:pPr>
            <w:r>
              <w:t xml:space="preserve">04</w:t>
            </w:r>
          </w:p>
        </w:tc>
        <w:tc>
          <w:tcPr/>
          <w:p>
            <w:pPr>
              <w:pStyle w:val="Compact"/>
              <w:jc w:val="left"/>
            </w:pPr>
            <w:r>
              <w:t xml:space="preserve">Monthly bookkeeping and general ledger maintenance</w:t>
            </w:r>
          </w:p>
        </w:tc>
        <w:tc>
          <w:tcPr/>
          <w:p>
            <w:pPr>
              <w:pStyle w:val="Compact"/>
              <w:jc w:val="left"/>
            </w:pPr>
            <w:r>
              <w:t xml:space="preserve">Monthly</w:t>
            </w:r>
          </w:p>
        </w:tc>
        <w:tc>
          <w:tcPr/>
          <w:p>
            <w:pPr>
              <w:pStyle w:val="Compact"/>
              <w:jc w:val="left"/>
            </w:pPr>
            <w:r>
              <w:t xml:space="preserve">€85.00</w:t>
            </w:r>
          </w:p>
        </w:tc>
        <w:tc>
          <w:tcPr/>
          <w:p>
            <w:pPr>
              <w:pStyle w:val="Compact"/>
              <w:jc w:val="left"/>
            </w:pPr>
            <w:r>
              <w:t xml:space="preserve">8</w:t>
            </w:r>
          </w:p>
        </w:tc>
        <w:tc>
          <w:tcPr/>
          <w:p>
            <w:pPr>
              <w:pStyle w:val="Compact"/>
              <w:jc w:val="left"/>
            </w:pPr>
            <w:r>
              <w:t xml:space="preserve">€8,160.00</w:t>
            </w:r>
          </w:p>
        </w:tc>
      </w:tr>
      <w:tr>
        <w:tc>
          <w:tcPr/>
          <w:p>
            <w:pPr>
              <w:pStyle w:val="Compact"/>
              <w:jc w:val="left"/>
            </w:pPr>
            <w:r>
              <w:t xml:space="preserve">05</w:t>
            </w:r>
          </w:p>
        </w:tc>
        <w:tc>
          <w:tcPr/>
          <w:p>
            <w:pPr>
              <w:pStyle w:val="Compact"/>
              <w:jc w:val="left"/>
            </w:pPr>
            <w:r>
              <w:t xml:space="preserve">Payroll administration and wage tax (loonheffing) compliance</w:t>
            </w:r>
          </w:p>
        </w:tc>
        <w:tc>
          <w:tcPr/>
          <w:p>
            <w:pPr>
              <w:pStyle w:val="Compact"/>
              <w:jc w:val="left"/>
            </w:pPr>
            <w:r>
              <w:t xml:space="preserve">Monthly</w:t>
            </w:r>
          </w:p>
        </w:tc>
        <w:tc>
          <w:tcPr/>
          <w:p>
            <w:pPr>
              <w:pStyle w:val="Compact"/>
              <w:jc w:val="left"/>
            </w:pPr>
            <w:r>
              <w:t xml:space="preserve">€90.00</w:t>
            </w:r>
          </w:p>
        </w:tc>
        <w:tc>
          <w:tcPr/>
          <w:p>
            <w:pPr>
              <w:pStyle w:val="Compact"/>
              <w:jc w:val="left"/>
            </w:pPr>
            <w:r>
              <w:t xml:space="preserve">6</w:t>
            </w:r>
          </w:p>
        </w:tc>
        <w:tc>
          <w:tcPr/>
          <w:p>
            <w:pPr>
              <w:pStyle w:val="Compact"/>
              <w:jc w:val="left"/>
            </w:pPr>
            <w:r>
              <w:t xml:space="preserve">€6,480.00</w:t>
            </w:r>
          </w:p>
        </w:tc>
      </w:tr>
      <w:tr>
        <w:tc>
          <w:tcPr/>
          <w:p>
            <w:pPr>
              <w:pStyle w:val="Compact"/>
              <w:jc w:val="left"/>
            </w:pPr>
            <w:r>
              <w:t xml:space="preserve">06</w:t>
            </w:r>
          </w:p>
        </w:tc>
        <w:tc>
          <w:tcPr/>
          <w:p>
            <w:pPr>
              <w:pStyle w:val="Compact"/>
              <w:jc w:val="left"/>
            </w:pPr>
            <w:r>
              <w:t xml:space="preserve">Annual management accounts and financial reporting to shareholders</w:t>
            </w:r>
          </w:p>
        </w:tc>
        <w:tc>
          <w:tcPr/>
          <w:p>
            <w:pPr>
              <w:pStyle w:val="Compact"/>
              <w:jc w:val="left"/>
            </w:pPr>
            <w:r>
              <w:t xml:space="preserve">Annual</w:t>
            </w:r>
          </w:p>
        </w:tc>
        <w:tc>
          <w:tcPr/>
          <w:p>
            <w:pPr>
              <w:pStyle w:val="Compact"/>
              <w:jc w:val="left"/>
            </w:pPr>
            <w:r>
              <w:t xml:space="preserve">€115.00</w:t>
            </w:r>
          </w:p>
        </w:tc>
        <w:tc>
          <w:tcPr/>
          <w:p>
            <w:pPr>
              <w:pStyle w:val="Compact"/>
              <w:jc w:val="left"/>
            </w:pPr>
            <w:r>
              <w:t xml:space="preserve">20</w:t>
            </w:r>
          </w:p>
        </w:tc>
        <w:tc>
          <w:tcPr/>
          <w:p>
            <w:pPr>
              <w:pStyle w:val="Compact"/>
              <w:jc w:val="left"/>
            </w:pPr>
            <w:r>
              <w:t xml:space="preserve">€2,300.00</w:t>
            </w:r>
          </w:p>
        </w:tc>
      </w:tr>
      <w:tr>
        <w:tc>
          <w:tcPr/>
          <w:p>
            <w:pPr>
              <w:pStyle w:val="Compact"/>
              <w:jc w:val="left"/>
            </w:pPr>
            <w:r>
              <w:t xml:space="preserve">07</w:t>
            </w:r>
          </w:p>
        </w:tc>
        <w:tc>
          <w:tcPr/>
          <w:p>
            <w:pPr>
              <w:pStyle w:val="Compact"/>
              <w:jc w:val="left"/>
            </w:pPr>
            <w:r>
              <w:t xml:space="preserve">Advisory on Dutch corporate tax planning and structuring</w:t>
            </w:r>
          </w:p>
        </w:tc>
        <w:tc>
          <w:tcPr/>
          <w:p>
            <w:pPr>
              <w:pStyle w:val="Compact"/>
              <w:jc w:val="left"/>
            </w:pPr>
            <w:r>
              <w:t xml:space="preserve">As needed</w:t>
            </w:r>
          </w:p>
        </w:tc>
        <w:tc>
          <w:tcPr/>
          <w:p>
            <w:pPr>
              <w:pStyle w:val="Compact"/>
              <w:jc w:val="left"/>
            </w:pPr>
            <w:r>
              <w:t xml:space="preserve">€130.00</w:t>
            </w:r>
          </w:p>
        </w:tc>
        <w:tc>
          <w:tcPr/>
          <w:p>
            <w:pPr>
              <w:pStyle w:val="Compact"/>
              <w:jc w:val="left"/>
            </w:pPr>
            <w:r>
              <w:t xml:space="preserve">10</w:t>
            </w:r>
          </w:p>
        </w:tc>
        <w:tc>
          <w:tcPr/>
          <w:p>
            <w:pPr>
              <w:pStyle w:val="Compact"/>
              <w:jc w:val="left"/>
            </w:pPr>
            <w:r>
              <w:t xml:space="preserve">€1,300.00</w:t>
            </w:r>
          </w:p>
        </w:tc>
      </w:tr>
      <w:tr>
        <w:tc>
          <w:tcPr/>
          <w:p>
            <w:pPr>
              <w:pStyle w:val="Compact"/>
              <w:jc w:val="left"/>
            </w:pPr>
            <w:r>
              <w:t xml:space="preserve">08</w:t>
            </w:r>
          </w:p>
        </w:tc>
        <w:tc>
          <w:tcPr/>
          <w:p>
            <w:pPr>
              <w:pStyle w:val="Compact"/>
              <w:jc w:val="left"/>
            </w:pPr>
            <w:r>
              <w:t xml:space="preserve">Representation before the Dutch Tax Administration (Amsterdam office)</w:t>
            </w:r>
          </w:p>
        </w:tc>
        <w:tc>
          <w:tcPr/>
          <w:p>
            <w:pPr>
              <w:pStyle w:val="Compact"/>
              <w:jc w:val="left"/>
            </w:pPr>
            <w:r>
              <w:t xml:space="preserve">As needed</w:t>
            </w:r>
          </w:p>
        </w:tc>
        <w:tc>
          <w:tcPr/>
          <w:p>
            <w:pPr>
              <w:pStyle w:val="Compact"/>
              <w:jc w:val="left"/>
            </w:pPr>
            <w:r>
              <w:t xml:space="preserve">€140.00</w:t>
            </w:r>
          </w:p>
        </w:tc>
        <w:tc>
          <w:tcPr/>
          <w:p>
            <w:pPr>
              <w:pStyle w:val="Compact"/>
              <w:jc w:val="left"/>
            </w:pPr>
            <w:r>
              <w:t xml:space="preserve">5</w:t>
            </w:r>
          </w:p>
        </w:tc>
        <w:tc>
          <w:tcPr/>
          <w:p>
            <w:pPr>
              <w:pStyle w:val="Compact"/>
              <w:jc w:val="left"/>
            </w:pPr>
            <w:r>
              <w:t xml:space="preserve">€700.00</w:t>
            </w:r>
          </w:p>
        </w:tc>
      </w:tr>
      <w:tr>
        <w:tc>
          <w:tcPr>
            <w:gridSpan w:val="5"/>
          </w:tcPr>
          <w:p>
            <w:pPr>
              <w:pStyle w:val="Compact"/>
              <w:jc w:val="left"/>
            </w:pPr>
            <w:r>
              <w:t xml:space="preserve">Subtotal (excl. VAT)</w:t>
            </w:r>
          </w:p>
        </w:tc>
        <w:tc>
          <w:tcPr/>
          <w:p>
            <w:pPr>
              <w:pStyle w:val="Compact"/>
              <w:jc w:val="left"/>
            </w:pPr>
            <w:r>
              <w:t xml:space="preserve">€28,780.00</w:t>
            </w:r>
          </w:p>
        </w:tc>
      </w:tr>
      <w:tr>
        <w:tc>
          <w:tcPr>
            <w:gridSpan w:val="5"/>
          </w:tcPr>
          <w:p>
            <w:pPr>
              <w:pStyle w:val="Compact"/>
              <w:jc w:val="left"/>
            </w:pPr>
            <w:r>
              <w:t xml:space="preserve">VAT (21% - Netherlands standard rate)</w:t>
            </w:r>
          </w:p>
        </w:tc>
        <w:tc>
          <w:tcPr/>
          <w:p>
            <w:pPr>
              <w:pStyle w:val="Compact"/>
              <w:jc w:val="left"/>
            </w:pPr>
            <w:r>
              <w:t xml:space="preserve">€6,043.80</w:t>
            </w:r>
          </w:p>
        </w:tc>
      </w:tr>
      <w:tr>
        <w:tc>
          <w:tcPr>
            <w:gridSpan w:val="5"/>
          </w:tcPr>
          <w:p>
            <w:pPr>
              <w:pStyle w:val="Compact"/>
              <w:jc w:val="left"/>
            </w:pPr>
            <w:r>
              <w:t xml:space="preserve">Total Amount Due (incl. VAT)</w:t>
            </w:r>
          </w:p>
        </w:tc>
        <w:tc>
          <w:tcPr/>
          <w:p>
            <w:pPr>
              <w:pStyle w:val="Compact"/>
              <w:jc w:val="left"/>
            </w:pPr>
            <w:r>
              <w:t xml:space="preserve">€34,823.80</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thirty (30) calendar days from the date of issue. After this period, the fees and rates stated herein may be subject to revision based on market conditions and regulatory changes in</w:t>
      </w:r>
      <w:r>
        <w:t xml:space="preserve"> </w:t>
      </w:r>
      <w:r>
        <w:t xml:space="preserve">Netherlands Amsterdam</w:t>
      </w:r>
      <w:r>
        <w:t xml:space="preserve">.</w:t>
      </w:r>
    </w:p>
    <w:p>
      <w:pPr>
        <w:numPr>
          <w:ilvl w:val="0"/>
          <w:numId w:val="1001"/>
        </w:numPr>
        <w:pStyle w:val="Compact"/>
      </w:pPr>
      <w:r>
        <w:rPr>
          <w:bCs/>
          <w:b/>
        </w:rPr>
        <w:t xml:space="preserve">Payment Terms:</w:t>
      </w:r>
      <w:r>
        <w:t xml:space="preserve"> </w:t>
      </w:r>
      <w:r>
        <w:t xml:space="preserve">Invoices issued by the</w:t>
      </w:r>
      <w:r>
        <w:t xml:space="preserve"> </w:t>
      </w:r>
      <w:r>
        <w:t xml:space="preserve">Accountant</w:t>
      </w:r>
      <w:r>
        <w:t xml:space="preserve"> </w:t>
      </w:r>
      <w:r>
        <w:t xml:space="preserve">are payable within thirty (30) days of the invoice date. Payment shall be made via bank transfer to the account of Amstel Financial Advisory B.V. at ING Bank, Amsterdam, NL. Late payments will incur interest at the statutory Dutch rate.</w:t>
      </w:r>
    </w:p>
    <w:p>
      <w:pPr>
        <w:numPr>
          <w:ilvl w:val="0"/>
          <w:numId w:val="1001"/>
        </w:numPr>
        <w:pStyle w:val="Compact"/>
      </w:pPr>
      <w:r>
        <w:rPr>
          <w:bCs/>
          <w:b/>
        </w:rPr>
        <w:t xml:space="preserve">Scope Limitations:</w:t>
      </w:r>
      <w:r>
        <w:t xml:space="preserve"> </w:t>
      </w:r>
      <w:r>
        <w:t xml:space="preserve">The services described in this</w:t>
      </w:r>
      <w:r>
        <w:t xml:space="preserve"> </w:t>
      </w:r>
      <w:r>
        <w:t xml:space="preserve">Quotation Estimate</w:t>
      </w:r>
      <w:r>
        <w:t xml:space="preserve"> </w:t>
      </w:r>
      <w:r>
        <w:t xml:space="preserve">are limited to the items explicitly listed in Section 3. Any additional services requested by the client beyond the agreed scope will be subject to a separate written amendment to this</w:t>
      </w:r>
      <w:r>
        <w:t xml:space="preserve"> </w:t>
      </w:r>
      <w:r>
        <w:t xml:space="preserve">Quotation Estimate</w:t>
      </w:r>
      <w:r>
        <w:t xml:space="preserve"> </w:t>
      </w:r>
      <w:r>
        <w:t xml:space="preserve">and will be billed at the applicable hourly rate of the assigned</w:t>
      </w:r>
      <w:r>
        <w:t xml:space="preserve"> </w:t>
      </w:r>
      <w:r>
        <w:t xml:space="preserve">Accountant</w:t>
      </w:r>
      <w:r>
        <w:t xml:space="preserve">.</w:t>
      </w:r>
    </w:p>
    <w:p>
      <w:pPr>
        <w:numPr>
          <w:ilvl w:val="0"/>
          <w:numId w:val="1001"/>
        </w:numPr>
        <w:pStyle w:val="Compact"/>
      </w:pPr>
      <w:r>
        <w:rPr>
          <w:bCs/>
          <w:b/>
        </w:rPr>
        <w:t xml:space="preserve">Client Obligations:</w:t>
      </w:r>
      <w:r>
        <w:t xml:space="preserve"> </w:t>
      </w:r>
      <w:r>
        <w:t xml:space="preserve">The client agrees to provide all necessary financial documents, bank statements, invoices, and supporting records in a timely manner to enable the</w:t>
      </w:r>
      <w:r>
        <w:t xml:space="preserve"> </w:t>
      </w:r>
      <w:r>
        <w:t xml:space="preserve">Accountant</w:t>
      </w:r>
      <w:r>
        <w:t xml:space="preserve"> </w:t>
      </w:r>
      <w:r>
        <w:t xml:space="preserve">to perform the services without undue delay. Failure to provide documentation within the agreed timeframe may result in additional fees.</w:t>
      </w:r>
    </w:p>
    <w:p>
      <w:pPr>
        <w:numPr>
          <w:ilvl w:val="0"/>
          <w:numId w:val="1001"/>
        </w:numPr>
        <w:pStyle w:val="Compact"/>
      </w:pPr>
      <w:r>
        <w:rPr>
          <w:bCs/>
          <w:b/>
        </w:rPr>
        <w:t xml:space="preserve">Confidentiality:</w:t>
      </w:r>
      <w:r>
        <w:t xml:space="preserve"> </w:t>
      </w:r>
      <w:r>
        <w:t xml:space="preserve">The</w:t>
      </w:r>
      <w:r>
        <w:t xml:space="preserve"> </w:t>
      </w:r>
      <w:r>
        <w:t xml:space="preserve">Accountant</w:t>
      </w:r>
      <w:r>
        <w:t xml:space="preserve"> </w:t>
      </w:r>
      <w:r>
        <w:t xml:space="preserve">and all staff members of Amstel Financial Advisory B.V. are bound by strict professional confidentiality obligations in accordance with Dutch law (Wet op het accountantsberoep) and the SRA code of conduct. All financial data pertaining to the client will be stored securely in our Amsterdam office and on encrypted digital systems.</w:t>
      </w:r>
    </w:p>
    <w:p>
      <w:pPr>
        <w:numPr>
          <w:ilvl w:val="0"/>
          <w:numId w:val="1001"/>
        </w:numPr>
        <w:pStyle w:val="Compact"/>
      </w:pPr>
      <w:r>
        <w:rPr>
          <w:bCs/>
          <w:b/>
        </w:rPr>
        <w:t xml:space="preserve">Liability:</w:t>
      </w:r>
      <w:r>
        <w:t xml:space="preserve"> </w:t>
      </w:r>
      <w:r>
        <w:t xml:space="preserve">The liability of the</w:t>
      </w:r>
      <w:r>
        <w:t xml:space="preserve"> </w:t>
      </w:r>
      <w:r>
        <w:t xml:space="preserve">Accountant</w:t>
      </w:r>
      <w:r>
        <w:t xml:space="preserve"> </w:t>
      </w:r>
      <w:r>
        <w:t xml:space="preserve">and the firm is limited to the total fees paid under this engagement. The firm shall not be held liable for any indirect, consequential, or punitive damages arising from the services rendered.</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the resulting engagement shall be governed by and interpreted in accordance with the laws of the Kingdom of the Netherlands. Any disputes shall be submitted to the competent court in Amsterdam,</w:t>
      </w:r>
      <w:r>
        <w:t xml:space="preserve"> </w:t>
      </w:r>
      <w:r>
        <w:t xml:space="preserve">Netherlands</w:t>
      </w:r>
      <w:r>
        <w:t xml:space="preserve">.</w:t>
      </w:r>
    </w:p>
    <w:p>
      <w:pPr>
        <w:numPr>
          <w:ilvl w:val="0"/>
          <w:numId w:val="1001"/>
        </w:numPr>
        <w:pStyle w:val="Compact"/>
      </w:pPr>
      <w:r>
        <w:rPr>
          <w:bCs/>
          <w:b/>
        </w:rPr>
        <w:t xml:space="preserve">Termination:</w:t>
      </w:r>
      <w:r>
        <w:t xml:space="preserve"> </w:t>
      </w:r>
      <w:r>
        <w:t xml:space="preserve">Either party may terminate the engagement with a written notice of sixty (60) days. Upon termination, all fees for services rendered up to the date of termination shall remain due and payable.</w:t>
      </w:r>
    </w:p>
    <w:p>
      <w:pPr>
        <w:pStyle w:val="FirstParagraph"/>
      </w:pPr>
      <w:r>
        <w:t xml:space="preserve">5. Acceptance and Authorization</w:t>
      </w:r>
    </w:p>
    <w:p>
      <w:pPr>
        <w:pStyle w:val="BodyText"/>
      </w:pPr>
      <w:r>
        <w:t xml:space="preserve">By signing below, the client acknowledges that this</w:t>
      </w:r>
      <w:r>
        <w:t xml:space="preserve"> </w:t>
      </w:r>
      <w:r>
        <w:t xml:space="preserve">Quotation Estimate</w:t>
      </w:r>
      <w:r>
        <w:t xml:space="preserve"> </w:t>
      </w:r>
      <w:r>
        <w:t xml:space="preserve">has been reviewed in its entirety and that the terms, conditions, and fee structure presented herein are accepted. The client authorizes Amstel Financial Advisory B.V. to commence the</w:t>
      </w:r>
      <w:r>
        <w:t xml:space="preserve"> </w:t>
      </w:r>
      <w:r>
        <w:t xml:space="preserve">Accountant</w:t>
      </w:r>
      <w:r>
        <w:t xml:space="preserve"> </w:t>
      </w:r>
      <w:r>
        <w:t xml:space="preserve">services as described in this document, to be performed in</w:t>
      </w:r>
      <w:r>
        <w:t xml:space="preserve"> </w:t>
      </w:r>
      <w:r>
        <w:t xml:space="preserve">Netherlands Amsterdam</w:t>
      </w:r>
      <w:r>
        <w:t xml:space="preserve"> </w:t>
      </w:r>
      <w:r>
        <w:t xml:space="preserve">and in full compliance with all applicable Dutch financial and tax regulations.</w:t>
      </w:r>
    </w:p>
    <w:p>
      <w:pPr>
        <w:pStyle w:val="BodyText"/>
      </w:pPr>
      <w:r>
        <w:rPr>
          <w:bCs/>
          <w:b/>
        </w:rPr>
        <w:t xml:space="preserve">For and on behalf of:</w:t>
      </w:r>
      <w:r>
        <w:br/>
      </w:r>
      <w:r>
        <w:t xml:space="preserve">Amstel Financial Advisory B.V.</w:t>
      </w:r>
    </w:p>
    <w:p>
      <w:pPr>
        <w:pStyle w:val="BodyText"/>
      </w:pPr>
      <w:r>
        <w:t xml:space="preserve">Name: J. van der Berg</w:t>
      </w:r>
      <w:r>
        <w:br/>
      </w:r>
      <w:r>
        <w:t xml:space="preserve">Title: Senior Accountant / Managing Partner</w:t>
      </w:r>
      <w:r>
        <w:br/>
      </w:r>
      <w:r>
        <w:t xml:space="preserve">Date: _______________</w:t>
      </w:r>
    </w:p>
    <w:p>
      <w:pPr>
        <w:pStyle w:val="BodyText"/>
      </w:pPr>
      <w:r>
        <w:rPr>
          <w:bCs/>
          <w:b/>
        </w:rPr>
        <w:t xml:space="preserve">For and on behalf of:</w:t>
      </w:r>
      <w:r>
        <w:br/>
      </w:r>
      <w:r>
        <w:t xml:space="preserve">[Client Company Name] B.V.</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This Quotation Estimate was prepared by Amstel Financial Advisory B.V., a registered firm of Accountants in Netherlands Amsterdam. Document Reference: QE-2025-0847. This document is confidential and intended solely for the named recipient. Unauthorized reproduction or distribution is prohibited under Dutch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Netherlands Amsterdam</dc:title>
  <dc:creator/>
  <dc:language>en</dc:language>
  <cp:keywords/>
  <dcterms:created xsi:type="dcterms:W3CDTF">2026-10-10T07:23:06Z</dcterms:created>
  <dcterms:modified xsi:type="dcterms:W3CDTF">2026-10-10T07:23:06Z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