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Accountant</w:t>
      </w:r>
      <w:r>
        <w:t xml:space="preserve"> </w:t>
      </w:r>
      <w:r>
        <w:t xml:space="preserve">Services</w:t>
      </w:r>
      <w:r>
        <w:t xml:space="preserve"> </w:t>
      </w:r>
      <w:r>
        <w:t xml:space="preserve">-</w:t>
      </w:r>
      <w:r>
        <w:t xml:space="preserve"> </w:t>
      </w:r>
      <w:r>
        <w:t xml:space="preserve">Pakistan</w:t>
      </w:r>
      <w:r>
        <w:t xml:space="preserve"> </w:t>
      </w:r>
      <w:r>
        <w:t xml:space="preserve">Islamabad</w:t>
      </w:r>
    </w:p>
    <w:bookmarkStart w:id="20" w:name="quotation-estimate"/>
    <w:p>
      <w:pPr>
        <w:pStyle w:val="Heading1"/>
      </w:pPr>
      <w:r>
        <w:t xml:space="preserve">Quotation Estimate</w:t>
      </w:r>
    </w:p>
    <w:p>
      <w:pPr>
        <w:pStyle w:val="FirstParagraph"/>
      </w:pPr>
      <w:r>
        <w:t xml:space="preserve">Professional Accountant Services</w:t>
      </w:r>
    </w:p>
    <w:p>
      <w:pPr>
        <w:pStyle w:val="BodyText"/>
      </w:pPr>
      <w:r>
        <w:t xml:space="preserve">Serving Clients Across Pakistan Islamabad</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QTE-ISB-2025-0472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w:t>
            </w:r>
          </w:p>
        </w:tc>
      </w:tr>
      <w:tr>
        <w:tc>
          <w:tcPr/>
          <w:p>
            <w:pPr>
              <w:pStyle w:val="Compact"/>
              <w:jc w:val="left"/>
            </w:pPr>
            <w:r>
              <w:t xml:space="preserve">Prepared By:</w:t>
            </w:r>
          </w:p>
        </w:tc>
        <w:tc>
          <w:tcPr/>
          <w:p>
            <w:pPr>
              <w:pStyle w:val="Compact"/>
              <w:jc w:val="left"/>
            </w:pPr>
            <w:r>
              <w:t xml:space="preserve">Al-Haq Accounting &amp; Financial Advisory Services (Pvt.) Ltd.</w:t>
            </w:r>
          </w:p>
        </w:tc>
      </w:tr>
      <w:tr>
        <w:tc>
          <w:tcPr/>
          <w:p>
            <w:pPr>
              <w:pStyle w:val="Compact"/>
              <w:jc w:val="left"/>
            </w:pPr>
            <w:r>
              <w:t xml:space="preserve">Office Address:</w:t>
            </w:r>
          </w:p>
        </w:tc>
        <w:tc>
          <w:tcPr/>
          <w:p>
            <w:pPr>
              <w:pStyle w:val="Compact"/>
              <w:jc w:val="left"/>
            </w:pPr>
            <w:r>
              <w:t xml:space="preserve">Suite 412, Blue Area Commercial Complex, Jinnah Avenue, Pakistan Islamabad, 44000</w:t>
            </w:r>
          </w:p>
        </w:tc>
      </w:tr>
      <w:tr>
        <w:tc>
          <w:tcPr/>
          <w:p>
            <w:pPr>
              <w:pStyle w:val="Compact"/>
              <w:jc w:val="left"/>
            </w:pPr>
            <w:r>
              <w:t xml:space="preserve">Contact:</w:t>
            </w:r>
          </w:p>
        </w:tc>
        <w:tc>
          <w:tcPr/>
          <w:p>
            <w:pPr>
              <w:pStyle w:val="Compact"/>
              <w:jc w:val="left"/>
            </w:pPr>
            <w:r>
              <w:t xml:space="preserve">info@alhqaccountants.pk | +92-51-227-4589 | +92-300-8456-210</w:t>
            </w:r>
          </w:p>
        </w:tc>
      </w:tr>
      <w:tr>
        <w:tc>
          <w:tcPr/>
          <w:p>
            <w:pPr>
              <w:pStyle w:val="Compact"/>
              <w:jc w:val="left"/>
            </w:pPr>
            <w:r>
              <w:t xml:space="preserve">Prepared For:</w:t>
            </w:r>
          </w:p>
        </w:tc>
        <w:tc>
          <w:tcPr/>
          <w:p>
            <w:pPr>
              <w:pStyle w:val="Compact"/>
              <w:jc w:val="left"/>
            </w:pPr>
            <w:r>
              <w:t xml:space="preserve">[Client Name / Company Name], [Client Address], Pakistan Islamabad</w:t>
            </w:r>
          </w:p>
        </w:tc>
      </w:tr>
      <w:tr>
        <w:tc>
          <w:tcPr/>
          <w:p>
            <w:pPr>
              <w:pStyle w:val="Compact"/>
              <w:jc w:val="left"/>
            </w:pPr>
            <w:r>
              <w:t xml:space="preserve">Service Period:</w:t>
            </w:r>
          </w:p>
        </w:tc>
        <w:tc>
          <w:tcPr/>
          <w:p>
            <w:pPr>
              <w:pStyle w:val="Compact"/>
              <w:jc w:val="left"/>
            </w:pPr>
            <w:r>
              <w:t xml:space="preserve">1 July 2025 to 30 June 2026 (Twelve Months)</w:t>
            </w:r>
          </w:p>
        </w:tc>
      </w:tr>
    </w:tbl>
    <w:bookmarkStart w:id="21" w:name="Xffbeb59da561a256cc904631a667fdec3b93f2a"/>
    <w:p>
      <w:pPr>
        <w:pStyle w:val="Heading2"/>
      </w:pPr>
      <w:r>
        <w:t xml:space="preserve">1. Introduction and Scope of Quotation Estimate</w:t>
      </w:r>
    </w:p>
    <w:p>
      <w:pPr>
        <w:pStyle w:val="FirstParagraph"/>
      </w:pPr>
      <w:r>
        <w:t xml:space="preserve">This</w:t>
      </w:r>
      <w:r>
        <w:t xml:space="preserve"> </w:t>
      </w:r>
      <w:r>
        <w:t xml:space="preserve">Quotation Estimate</w:t>
      </w:r>
      <w:r>
        <w:t xml:space="preserve"> </w:t>
      </w:r>
      <w:r>
        <w:t xml:space="preserve">is formally issued by Al-Haq Accounting &amp; Financial Advisory Services (Pvt.) Ltd., a registered professional firm operating in</w:t>
      </w:r>
      <w:r>
        <w:t xml:space="preserve"> </w:t>
      </w:r>
      <w:r>
        <w:t xml:space="preserve">Pakistan Islamabad</w:t>
      </w:r>
      <w:r>
        <w:t xml:space="preserve">, to provide a comprehensive and transparent breakdown of costs associated with the engagement of a qualified</w:t>
      </w:r>
      <w:r>
        <w:t xml:space="preserve"> </w:t>
      </w:r>
      <w:r>
        <w:t xml:space="preserve">Accountant</w:t>
      </w:r>
      <w:r>
        <w:t xml:space="preserve"> </w:t>
      </w:r>
      <w:r>
        <w:t xml:space="preserve">for the client's business operations. This document serves as a binding financial proposal outlining the scope of accounting services, professional fees, applicable taxes, and all associated terms governing the engagement. The</w:t>
      </w:r>
      <w:r>
        <w:t xml:space="preserve"> </w:t>
      </w:r>
      <w:r>
        <w:t xml:space="preserve">Accountant</w:t>
      </w:r>
      <w:r>
        <w:t xml:space="preserve"> </w:t>
      </w:r>
      <w:r>
        <w:t xml:space="preserve">services described herein are tailored specifically to meet the regulatory, financial, and operational requirements of businesses operating within the jurisdiction of</w:t>
      </w:r>
      <w:r>
        <w:t xml:space="preserve"> </w:t>
      </w:r>
      <w:r>
        <w:t xml:space="preserve">Pakistan Islamabad</w:t>
      </w:r>
      <w:r>
        <w:t xml:space="preserve">, in full compliance with the Federal Board of Revenue (FBR) regulations, the Securities and Exchange Commission of Pakistan (SECP) guidelines, and the Pakistan Financial Reporting Standards (PFRS).</w:t>
      </w:r>
    </w:p>
    <w:bookmarkEnd w:id="21"/>
    <w:bookmarkStart w:id="22" w:name="X01daf2c29201d59872e89ab9fa9b38faad68dbb"/>
    <w:p>
      <w:pPr>
        <w:pStyle w:val="Heading2"/>
      </w:pPr>
      <w:r>
        <w:t xml:space="preserve">2. Detailed Breakdown of Accountant Services and Fees</w:t>
      </w:r>
    </w:p>
    <w:p>
      <w:pPr>
        <w:pStyle w:val="FirstParagraph"/>
      </w:pPr>
      <w:r>
        <w:t xml:space="preserve">The following</w:t>
      </w:r>
      <w:r>
        <w:t xml:space="preserve"> </w:t>
      </w:r>
      <w:r>
        <w:t xml:space="preserve">Quotation Estimate</w:t>
      </w:r>
      <w:r>
        <w:t xml:space="preserve"> </w:t>
      </w:r>
      <w:r>
        <w:t xml:space="preserve">itemizes each component of the</w:t>
      </w:r>
      <w:r>
        <w:t xml:space="preserve"> </w:t>
      </w:r>
      <w:r>
        <w:t xml:space="preserve">Accountant</w:t>
      </w:r>
      <w:r>
        <w:t xml:space="preserve"> </w:t>
      </w:r>
      <w:r>
        <w:t xml:space="preserve">engagement. All fees are quoted in Pakistani Rupees (PKR) and are exclusive of applicable sales tax unless otherwise stated. The</w:t>
      </w:r>
      <w:r>
        <w:t xml:space="preserve"> </w:t>
      </w:r>
      <w:r>
        <w:t xml:space="preserve">Accountant</w:t>
      </w:r>
      <w:r>
        <w:t xml:space="preserve"> </w:t>
      </w:r>
      <w:r>
        <w:t xml:space="preserve">will be a Chartered Accountant (CA) or Cost and Management Accountant (CMA) licensed by the Institute of Chartered Accountants of Pakistan (ICAP) or the Institute of Cost and Management Accountants of Pakistan (ICMAP), respectively, and will be physically stationed at the client's premises in</w:t>
      </w:r>
      <w:r>
        <w:t xml:space="preserve"> </w:t>
      </w:r>
      <w:r>
        <w:t xml:space="preserve">Pakistan Islamabad</w:t>
      </w:r>
      <w:r>
        <w:t xml:space="preserve"> </w:t>
      </w:r>
      <w:r>
        <w:t xml:space="preserve">for a minimum of five (5) working days per week.</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Frequency</w:t>
            </w:r>
          </w:p>
        </w:tc>
        <w:tc>
          <w:tcPr/>
          <w:p>
            <w:pPr>
              <w:pStyle w:val="Compact"/>
              <w:jc w:val="left"/>
            </w:pPr>
            <w:r>
              <w:t xml:space="preserve">Unit</w:t>
            </w:r>
          </w:p>
        </w:tc>
        <w:tc>
          <w:tcPr/>
          <w:p>
            <w:pPr>
              <w:pStyle w:val="Compact"/>
              <w:jc w:val="left"/>
            </w:pPr>
            <w:r>
              <w:t xml:space="preserve">Amount (PKR)</w:t>
            </w:r>
          </w:p>
        </w:tc>
      </w:tr>
      <w:tr>
        <w:tc>
          <w:tcPr/>
          <w:p>
            <w:pPr>
              <w:pStyle w:val="Compact"/>
              <w:jc w:val="left"/>
            </w:pPr>
            <w:r>
              <w:t xml:space="preserve">1</w:t>
            </w:r>
          </w:p>
        </w:tc>
        <w:tc>
          <w:tcPr/>
          <w:p>
            <w:pPr>
              <w:pStyle w:val="Compact"/>
              <w:jc w:val="left"/>
            </w:pPr>
            <w:r>
              <w:t xml:space="preserve">Monthly bookkeeping, journal entries, and ledger maintenance by the dedicated Accountant</w:t>
            </w:r>
          </w:p>
        </w:tc>
        <w:tc>
          <w:tcPr/>
          <w:p>
            <w:pPr>
              <w:pStyle w:val="Compact"/>
              <w:jc w:val="left"/>
            </w:pPr>
            <w:r>
              <w:t xml:space="preserve">Monthly</w:t>
            </w:r>
          </w:p>
        </w:tc>
        <w:tc>
          <w:tcPr/>
          <w:p>
            <w:pPr>
              <w:pStyle w:val="Compact"/>
              <w:jc w:val="left"/>
            </w:pPr>
            <w:r>
              <w:t xml:space="preserve">12 months</w:t>
            </w:r>
          </w:p>
        </w:tc>
        <w:tc>
          <w:tcPr/>
          <w:p>
            <w:pPr>
              <w:pStyle w:val="Compact"/>
              <w:jc w:val="left"/>
            </w:pPr>
            <w:r>
              <w:t xml:space="preserve">120,000</w:t>
            </w:r>
          </w:p>
        </w:tc>
      </w:tr>
      <w:tr>
        <w:tc>
          <w:tcPr/>
          <w:p>
            <w:pPr>
              <w:pStyle w:val="Compact"/>
              <w:jc w:val="left"/>
            </w:pPr>
            <w:r>
              <w:t xml:space="preserve">2</w:t>
            </w:r>
          </w:p>
        </w:tc>
        <w:tc>
          <w:tcPr/>
          <w:p>
            <w:pPr>
              <w:pStyle w:val="Compact"/>
              <w:jc w:val="left"/>
            </w:pPr>
            <w:r>
              <w:t xml:space="preserve">Preparation of monthly management accounts, profit &amp; loss statements, and balance sheets</w:t>
            </w:r>
          </w:p>
        </w:tc>
        <w:tc>
          <w:tcPr/>
          <w:p>
            <w:pPr>
              <w:pStyle w:val="Compact"/>
              <w:jc w:val="left"/>
            </w:pPr>
            <w:r>
              <w:t xml:space="preserve">Monthly</w:t>
            </w:r>
          </w:p>
        </w:tc>
        <w:tc>
          <w:tcPr/>
          <w:p>
            <w:pPr>
              <w:pStyle w:val="Compact"/>
              <w:jc w:val="left"/>
            </w:pPr>
            <w:r>
              <w:t xml:space="preserve">12 months</w:t>
            </w:r>
          </w:p>
        </w:tc>
        <w:tc>
          <w:tcPr/>
          <w:p>
            <w:pPr>
              <w:pStyle w:val="Compact"/>
              <w:jc w:val="left"/>
            </w:pPr>
            <w:r>
              <w:t xml:space="preserve">96,000</w:t>
            </w:r>
          </w:p>
        </w:tc>
      </w:tr>
      <w:tr>
        <w:tc>
          <w:tcPr/>
          <w:p>
            <w:pPr>
              <w:pStyle w:val="Compact"/>
              <w:jc w:val="left"/>
            </w:pPr>
            <w:r>
              <w:t xml:space="preserve">3</w:t>
            </w:r>
          </w:p>
        </w:tc>
        <w:tc>
          <w:tcPr/>
          <w:p>
            <w:pPr>
              <w:pStyle w:val="Compact"/>
              <w:jc w:val="left"/>
            </w:pPr>
            <w:r>
              <w:t xml:space="preserve">FBR tax compliance: Sales Tax (ST) returns, Withholding Tax (WHT) filings, and income tax computations</w:t>
            </w:r>
          </w:p>
        </w:tc>
        <w:tc>
          <w:tcPr/>
          <w:p>
            <w:pPr>
              <w:pStyle w:val="Compact"/>
              <w:jc w:val="left"/>
            </w:pPr>
            <w:r>
              <w:t xml:space="preserve">Quarterly / Annual</w:t>
            </w:r>
          </w:p>
        </w:tc>
        <w:tc>
          <w:tcPr/>
          <w:p>
            <w:pPr>
              <w:pStyle w:val="Compact"/>
              <w:jc w:val="left"/>
            </w:pPr>
            <w:r>
              <w:t xml:space="preserve">4 quarters + 1 annual</w:t>
            </w:r>
          </w:p>
        </w:tc>
        <w:tc>
          <w:tcPr/>
          <w:p>
            <w:pPr>
              <w:pStyle w:val="Compact"/>
              <w:jc w:val="left"/>
            </w:pPr>
            <w:r>
              <w:t xml:space="preserve">180,000</w:t>
            </w:r>
          </w:p>
        </w:tc>
      </w:tr>
      <w:tr>
        <w:tc>
          <w:tcPr/>
          <w:p>
            <w:pPr>
              <w:pStyle w:val="Compact"/>
              <w:jc w:val="left"/>
            </w:pPr>
            <w:r>
              <w:t xml:space="preserve">4</w:t>
            </w:r>
          </w:p>
        </w:tc>
        <w:tc>
          <w:tcPr/>
          <w:p>
            <w:pPr>
              <w:pStyle w:val="Compact"/>
              <w:jc w:val="left"/>
            </w:pPr>
            <w:r>
              <w:t xml:space="preserve">Annual financial statement preparation and audit support in accordance with PFRS applicable in Pakistan Islamabad</w:t>
            </w:r>
          </w:p>
        </w:tc>
        <w:tc>
          <w:tcPr/>
          <w:p>
            <w:pPr>
              <w:pStyle w:val="Compact"/>
              <w:jc w:val="left"/>
            </w:pPr>
            <w:r>
              <w:t xml:space="preserve">Annual</w:t>
            </w:r>
          </w:p>
        </w:tc>
        <w:tc>
          <w:tcPr/>
          <w:p>
            <w:pPr>
              <w:pStyle w:val="Compact"/>
              <w:jc w:val="left"/>
            </w:pPr>
            <w:r>
              <w:t xml:space="preserve">1 year</w:t>
            </w:r>
          </w:p>
        </w:tc>
        <w:tc>
          <w:tcPr/>
          <w:p>
            <w:pPr>
              <w:pStyle w:val="Compact"/>
              <w:jc w:val="left"/>
            </w:pPr>
            <w:r>
              <w:t xml:space="preserve">250,000</w:t>
            </w:r>
          </w:p>
        </w:tc>
      </w:tr>
      <w:tr>
        <w:tc>
          <w:tcPr/>
          <w:p>
            <w:pPr>
              <w:pStyle w:val="Compact"/>
              <w:jc w:val="left"/>
            </w:pPr>
            <w:r>
              <w:t xml:space="preserve">5</w:t>
            </w:r>
          </w:p>
        </w:tc>
        <w:tc>
          <w:tcPr/>
          <w:p>
            <w:pPr>
              <w:pStyle w:val="Compact"/>
              <w:jc w:val="left"/>
            </w:pPr>
            <w:r>
              <w:t xml:space="preserve">SECP annual return filing and company secretarial liaison for entities registered in Pakistan Islamabad</w:t>
            </w:r>
          </w:p>
        </w:tc>
        <w:tc>
          <w:tcPr/>
          <w:p>
            <w:pPr>
              <w:pStyle w:val="Compact"/>
              <w:jc w:val="left"/>
            </w:pPr>
            <w:r>
              <w:t xml:space="preserve">Annual</w:t>
            </w:r>
          </w:p>
        </w:tc>
        <w:tc>
          <w:tcPr/>
          <w:p>
            <w:pPr>
              <w:pStyle w:val="Compact"/>
              <w:jc w:val="left"/>
            </w:pPr>
            <w:r>
              <w:t xml:space="preserve">1 year</w:t>
            </w:r>
          </w:p>
        </w:tc>
        <w:tc>
          <w:tcPr/>
          <w:p>
            <w:pPr>
              <w:pStyle w:val="Compact"/>
              <w:jc w:val="left"/>
            </w:pPr>
            <w:r>
              <w:t xml:space="preserve">85,000</w:t>
            </w:r>
          </w:p>
        </w:tc>
      </w:tr>
      <w:tr>
        <w:tc>
          <w:tcPr/>
          <w:p>
            <w:pPr>
              <w:pStyle w:val="Compact"/>
              <w:jc w:val="left"/>
            </w:pPr>
            <w:r>
              <w:t xml:space="preserve">6</w:t>
            </w:r>
          </w:p>
        </w:tc>
        <w:tc>
          <w:tcPr/>
          <w:p>
            <w:pPr>
              <w:pStyle w:val="Compact"/>
              <w:jc w:val="left"/>
            </w:pPr>
            <w:r>
              <w:t xml:space="preserve">Payroll processing, EPF contributions, and statutory deductions for up to 50 employees</w:t>
            </w:r>
          </w:p>
        </w:tc>
        <w:tc>
          <w:tcPr/>
          <w:p>
            <w:pPr>
              <w:pStyle w:val="Compact"/>
              <w:jc w:val="left"/>
            </w:pPr>
            <w:r>
              <w:t xml:space="preserve">Monthly</w:t>
            </w:r>
          </w:p>
        </w:tc>
        <w:tc>
          <w:tcPr/>
          <w:p>
            <w:pPr>
              <w:pStyle w:val="Compact"/>
              <w:jc w:val="left"/>
            </w:pPr>
            <w:r>
              <w:t xml:space="preserve">12 months</w:t>
            </w:r>
          </w:p>
        </w:tc>
        <w:tc>
          <w:tcPr/>
          <w:p>
            <w:pPr>
              <w:pStyle w:val="Compact"/>
              <w:jc w:val="left"/>
            </w:pPr>
            <w:r>
              <w:t xml:space="preserve">144,000</w:t>
            </w:r>
          </w:p>
        </w:tc>
      </w:tr>
      <w:tr>
        <w:tc>
          <w:tcPr/>
          <w:p>
            <w:pPr>
              <w:pStyle w:val="Compact"/>
              <w:jc w:val="left"/>
            </w:pPr>
            <w:r>
              <w:t xml:space="preserve">7</w:t>
            </w:r>
          </w:p>
        </w:tc>
        <w:tc>
          <w:tcPr/>
          <w:p>
            <w:pPr>
              <w:pStyle w:val="Compact"/>
              <w:jc w:val="left"/>
            </w:pPr>
            <w:r>
              <w:t xml:space="preserve">Budgeting, cash flow forecasting, and monthly financial advisory meetings with management</w:t>
            </w:r>
          </w:p>
        </w:tc>
        <w:tc>
          <w:tcPr/>
          <w:p>
            <w:pPr>
              <w:pStyle w:val="Compact"/>
              <w:jc w:val="left"/>
            </w:pPr>
            <w:r>
              <w:t xml:space="preserve">Monthly</w:t>
            </w:r>
          </w:p>
        </w:tc>
        <w:tc>
          <w:tcPr/>
          <w:p>
            <w:pPr>
              <w:pStyle w:val="Compact"/>
              <w:jc w:val="left"/>
            </w:pPr>
            <w:r>
              <w:t xml:space="preserve">12 months</w:t>
            </w:r>
          </w:p>
        </w:tc>
        <w:tc>
          <w:tcPr/>
          <w:p>
            <w:pPr>
              <w:pStyle w:val="Compact"/>
              <w:jc w:val="left"/>
            </w:pPr>
            <w:r>
              <w:t xml:space="preserve">120,000</w:t>
            </w:r>
          </w:p>
        </w:tc>
      </w:tr>
      <w:tr>
        <w:tc>
          <w:tcPr/>
          <w:p>
            <w:pPr>
              <w:pStyle w:val="Compact"/>
              <w:jc w:val="left"/>
            </w:pPr>
            <w:r>
              <w:t xml:space="preserve">8</w:t>
            </w:r>
          </w:p>
        </w:tc>
        <w:tc>
          <w:tcPr/>
          <w:p>
            <w:pPr>
              <w:pStyle w:val="Compact"/>
              <w:jc w:val="left"/>
            </w:pPr>
            <w:r>
              <w:t xml:space="preserve">Bank reconciliation, vendor and customer account reconciliation, and internal control reviews</w:t>
            </w:r>
          </w:p>
        </w:tc>
        <w:tc>
          <w:tcPr/>
          <w:p>
            <w:pPr>
              <w:pStyle w:val="Compact"/>
              <w:jc w:val="left"/>
            </w:pPr>
            <w:r>
              <w:t xml:space="preserve">Monthly</w:t>
            </w:r>
          </w:p>
        </w:tc>
        <w:tc>
          <w:tcPr/>
          <w:p>
            <w:pPr>
              <w:pStyle w:val="Compact"/>
              <w:jc w:val="left"/>
            </w:pPr>
            <w:r>
              <w:t xml:space="preserve">12 months</w:t>
            </w:r>
          </w:p>
        </w:tc>
        <w:tc>
          <w:tcPr/>
          <w:p>
            <w:pPr>
              <w:pStyle w:val="Compact"/>
              <w:jc w:val="left"/>
            </w:pPr>
            <w:r>
              <w:t xml:space="preserve">72,000</w:t>
            </w:r>
          </w:p>
        </w:tc>
      </w:tr>
      <w:tr>
        <w:tc>
          <w:tcPr/>
          <w:p>
            <w:pPr>
              <w:pStyle w:val="Compact"/>
              <w:jc w:val="left"/>
            </w:pPr>
            <w:r>
              <w:t xml:space="preserve">9</w:t>
            </w:r>
          </w:p>
        </w:tc>
        <w:tc>
          <w:tcPr/>
          <w:p>
            <w:pPr>
              <w:pStyle w:val="Compact"/>
              <w:jc w:val="left"/>
            </w:pPr>
            <w:r>
              <w:t xml:space="preserve">Ad-hoc consulting, special tax opinions, and regulatory correspondence on behalf of the client</w:t>
            </w:r>
          </w:p>
        </w:tc>
        <w:tc>
          <w:tcPr/>
          <w:p>
            <w:pPr>
              <w:pStyle w:val="Compact"/>
              <w:jc w:val="left"/>
            </w:pPr>
            <w:r>
              <w:t xml:space="preserve">As required</w:t>
            </w:r>
          </w:p>
        </w:tc>
        <w:tc>
          <w:tcPr/>
          <w:p>
            <w:pPr>
              <w:pStyle w:val="Compact"/>
              <w:jc w:val="left"/>
            </w:pPr>
            <w:r>
              <w:t xml:space="preserve">Annual cap</w:t>
            </w:r>
          </w:p>
        </w:tc>
        <w:tc>
          <w:tcPr/>
          <w:p>
            <w:pPr>
              <w:pStyle w:val="Compact"/>
              <w:jc w:val="left"/>
            </w:pPr>
            <w:r>
              <w:t xml:space="preserve">60,000</w:t>
            </w:r>
          </w:p>
        </w:tc>
      </w:tr>
      <w:tr>
        <w:tc>
          <w:tcPr/>
          <w:p>
            <w:pPr>
              <w:pStyle w:val="Compact"/>
              <w:jc w:val="left"/>
            </w:pPr>
            <w:r>
              <w:t xml:space="preserve">10</w:t>
            </w:r>
          </w:p>
        </w:tc>
        <w:tc>
          <w:tcPr/>
          <w:p>
            <w:pPr>
              <w:pStyle w:val="Compact"/>
              <w:jc w:val="left"/>
            </w:pPr>
            <w:r>
              <w:t xml:space="preserve">Use of accounting software (Tally / QuickBooks) license and cloud data storage for the engagement period</w:t>
            </w:r>
          </w:p>
        </w:tc>
        <w:tc>
          <w:tcPr/>
          <w:p>
            <w:pPr>
              <w:pStyle w:val="Compact"/>
              <w:jc w:val="left"/>
            </w:pPr>
            <w:r>
              <w:t xml:space="preserve">Annual</w:t>
            </w:r>
          </w:p>
        </w:tc>
        <w:tc>
          <w:tcPr/>
          <w:p>
            <w:pPr>
              <w:pStyle w:val="Compact"/>
              <w:jc w:val="left"/>
            </w:pPr>
            <w:r>
              <w:t xml:space="preserve">1 year</w:t>
            </w:r>
          </w:p>
        </w:tc>
        <w:tc>
          <w:tcPr/>
          <w:p>
            <w:pPr>
              <w:pStyle w:val="Compact"/>
              <w:jc w:val="left"/>
            </w:pPr>
            <w:r>
              <w:t xml:space="preserve">48,000</w:t>
            </w:r>
          </w:p>
        </w:tc>
      </w:tr>
      <w:tr>
        <w:tc>
          <w:tcPr>
            <w:gridSpan w:val="4"/>
          </w:tcPr>
          <w:p>
            <w:pPr>
              <w:pStyle w:val="Compact"/>
              <w:jc w:val="right"/>
            </w:pPr>
            <w:r>
              <w:t xml:space="preserve">Subtotal (Professional Fees)</w:t>
            </w:r>
          </w:p>
        </w:tc>
        <w:tc>
          <w:tcPr/>
          <w:p>
            <w:pPr>
              <w:pStyle w:val="Compact"/>
              <w:jc w:val="left"/>
            </w:pPr>
            <w:r>
              <w:t xml:space="preserve">1,175,000</w:t>
            </w:r>
          </w:p>
        </w:tc>
      </w:tr>
      <w:tr>
        <w:tc>
          <w:tcPr>
            <w:gridSpan w:val="4"/>
          </w:tcPr>
          <w:p>
            <w:pPr>
              <w:pStyle w:val="Compact"/>
              <w:jc w:val="right"/>
            </w:pPr>
            <w:r>
              <w:t xml:space="preserve">Sales Tax @ 16% (as applicable in Pakistan Islamabad)</w:t>
            </w:r>
          </w:p>
        </w:tc>
        <w:tc>
          <w:tcPr/>
          <w:p>
            <w:pPr>
              <w:pStyle w:val="Compact"/>
              <w:jc w:val="left"/>
            </w:pPr>
            <w:r>
              <w:t xml:space="preserve">188,000</w:t>
            </w:r>
          </w:p>
        </w:tc>
      </w:tr>
      <w:tr>
        <w:tc>
          <w:tcPr>
            <w:gridSpan w:val="4"/>
          </w:tcPr>
          <w:p>
            <w:pPr>
              <w:pStyle w:val="Compact"/>
              <w:jc w:val="right"/>
            </w:pPr>
            <w:r>
              <w:t xml:space="preserve">Grand Total (Quotation Estimate Amount)</w:t>
            </w:r>
          </w:p>
        </w:tc>
        <w:tc>
          <w:tcPr/>
          <w:p>
            <w:pPr>
              <w:pStyle w:val="Compact"/>
              <w:jc w:val="left"/>
            </w:pPr>
            <w:r>
              <w:t xml:space="preserve">1,363,000</w:t>
            </w:r>
          </w:p>
        </w:tc>
      </w:tr>
    </w:tbl>
    <w:bookmarkEnd w:id="22"/>
    <w:bookmarkStart w:id="23" w:name="payment-terms-and-schedule"/>
    <w:p>
      <w:pPr>
        <w:pStyle w:val="Heading2"/>
      </w:pPr>
      <w:r>
        <w:t xml:space="preserve">3. Payment Terms and Schedule</w:t>
      </w:r>
    </w:p>
    <w:p>
      <w:pPr>
        <w:pStyle w:val="FirstParagraph"/>
      </w:pPr>
      <w:r>
        <w:t xml:space="preserve">The total</w:t>
      </w:r>
      <w:r>
        <w:t xml:space="preserve"> </w:t>
      </w:r>
      <w:r>
        <w:t xml:space="preserve">Quotation Estimate</w:t>
      </w:r>
      <w:r>
        <w:t xml:space="preserve"> </w:t>
      </w:r>
      <w:r>
        <w:t xml:space="preserve">amount of PKR 1,363,000 shall be payable in quarterly installments of PKR 340,750 each. The first installment is due within fifteen (15) calendar days of the execution of the service agreement. Subsequent installments are due on the first business day of each quarter. Payment shall be made via bank transfer to the firm's designated account at HBL, Blue Area Branch,</w:t>
      </w:r>
      <w:r>
        <w:t xml:space="preserve"> </w:t>
      </w:r>
      <w:r>
        <w:t xml:space="preserve">Pakistan Islamabad</w:t>
      </w:r>
      <w:r>
        <w:t xml:space="preserve">. Late payments shall attract a penalty of 1.5% per month on the outstanding balance.</w:t>
      </w:r>
    </w:p>
    <w:bookmarkEnd w:id="23"/>
    <w:bookmarkStart w:id="24" w:name="terms-and-conditions"/>
    <w:p>
      <w:pPr>
        <w:pStyle w:val="Heading2"/>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days from the date of issue. Beyond this period, fees may be revised to reflect changes in market rates, regulatory requirements, or operational costs in</w:t>
      </w:r>
      <w:r>
        <w:t xml:space="preserve"> </w:t>
      </w:r>
      <w:r>
        <w:t xml:space="preserve">Pakistan Islamabad</w:t>
      </w:r>
      <w:r>
        <w:t xml:space="preserve">.</w:t>
      </w:r>
    </w:p>
    <w:p>
      <w:pPr>
        <w:numPr>
          <w:ilvl w:val="0"/>
          <w:numId w:val="1001"/>
        </w:numPr>
        <w:pStyle w:val="Compact"/>
      </w:pPr>
      <w:r>
        <w:t xml:space="preserve">The</w:t>
      </w:r>
      <w:r>
        <w:t xml:space="preserve"> </w:t>
      </w:r>
      <w:r>
        <w:t xml:space="preserve">Accountant</w:t>
      </w:r>
      <w:r>
        <w:t xml:space="preserve"> </w:t>
      </w:r>
      <w:r>
        <w:t xml:space="preserve">assigned to this engagement shall maintain strict confidentiality of all financial data, trade secrets, and proprietary information of the client, in accordance with the professional code of ethics of ICAP/ICMAP.</w:t>
      </w:r>
    </w:p>
    <w:p>
      <w:pPr>
        <w:numPr>
          <w:ilvl w:val="0"/>
          <w:numId w:val="1001"/>
        </w:numPr>
        <w:pStyle w:val="Compact"/>
      </w:pPr>
      <w:r>
        <w:t xml:space="preserve">The client shall provide timely access to all source documents, bank statements, invoices, and supporting records required for the</w:t>
      </w:r>
      <w:r>
        <w:t xml:space="preserve"> </w:t>
      </w:r>
      <w:r>
        <w:t xml:space="preserve">Accountant</w:t>
      </w:r>
      <w:r>
        <w:t xml:space="preserve"> </w:t>
      </w:r>
      <w:r>
        <w:t xml:space="preserve">to perform the services outlined in this</w:t>
      </w:r>
      <w:r>
        <w:t xml:space="preserve"> </w:t>
      </w:r>
      <w:r>
        <w:t xml:space="preserve">Quotation Estimate</w:t>
      </w:r>
      <w:r>
        <w:t xml:space="preserve">.</w:t>
      </w:r>
    </w:p>
    <w:p>
      <w:pPr>
        <w:numPr>
          <w:ilvl w:val="0"/>
          <w:numId w:val="1001"/>
        </w:numPr>
        <w:pStyle w:val="Compact"/>
      </w:pPr>
      <w:r>
        <w:t xml:space="preserve">Any additional services beyond the scope defined herein (e.g., tax litigation representation, forensic accounting, or M&amp;A due diligence) shall be quoted separately and require written approval from both parties.</w:t>
      </w:r>
    </w:p>
    <w:p>
      <w:pPr>
        <w:numPr>
          <w:ilvl w:val="0"/>
          <w:numId w:val="1001"/>
        </w:numPr>
        <w:pStyle w:val="Compact"/>
      </w:pPr>
      <w:r>
        <w:t xml:space="preserve">The</w:t>
      </w:r>
      <w:r>
        <w:t xml:space="preserve"> </w:t>
      </w:r>
      <w:r>
        <w:t xml:space="preserve">Accountant</w:t>
      </w:r>
      <w:r>
        <w:t xml:space="preserve"> </w:t>
      </w:r>
      <w:r>
        <w:t xml:space="preserve">shall comply with all data protection and information security standards applicable in</w:t>
      </w:r>
      <w:r>
        <w:t xml:space="preserve"> </w:t>
      </w:r>
      <w:r>
        <w:t xml:space="preserve">Pakistan Islamabad</w:t>
      </w:r>
      <w:r>
        <w:t xml:space="preserve">, including the Prevention of Electronic Crimes Act (PECA) 2016.</w:t>
      </w:r>
    </w:p>
    <w:p>
      <w:pPr>
        <w:numPr>
          <w:ilvl w:val="0"/>
          <w:numId w:val="1001"/>
        </w:numPr>
        <w:pStyle w:val="Compact"/>
      </w:pPr>
      <w:r>
        <w:t xml:space="preserve">Either party may terminate the engagement with thirty (30) days' written notice. In such an event, fees for services rendered up to the termination date shall be payable in full.</w:t>
      </w:r>
    </w:p>
    <w:p>
      <w:pPr>
        <w:numPr>
          <w:ilvl w:val="0"/>
          <w:numId w:val="1001"/>
        </w:numPr>
        <w:pStyle w:val="Compact"/>
      </w:pPr>
      <w:r>
        <w:t xml:space="preserve">This</w:t>
      </w:r>
      <w:r>
        <w:t xml:space="preserve"> </w:t>
      </w:r>
      <w:r>
        <w:t xml:space="preserve">Quotation Estimate</w:t>
      </w:r>
      <w:r>
        <w:t xml:space="preserve"> </w:t>
      </w:r>
      <w:r>
        <w:t xml:space="preserve">does not constitute a guarantee of any specific tax outcome, audit opinion, or regulatory approval. The</w:t>
      </w:r>
      <w:r>
        <w:t xml:space="preserve"> </w:t>
      </w:r>
      <w:r>
        <w:t xml:space="preserve">Accountant</w:t>
      </w:r>
      <w:r>
        <w:t xml:space="preserve"> </w:t>
      </w:r>
      <w:r>
        <w:t xml:space="preserve">shall exercise reasonable professional judgment in all matters.</w:t>
      </w:r>
    </w:p>
    <w:p>
      <w:pPr>
        <w:numPr>
          <w:ilvl w:val="0"/>
          <w:numId w:val="1001"/>
        </w:numPr>
        <w:pStyle w:val="Compact"/>
      </w:pPr>
      <w:r>
        <w:t xml:space="preserve">All disputes arising from this engagement shall be resolved through arbitration in</w:t>
      </w:r>
      <w:r>
        <w:t xml:space="preserve"> </w:t>
      </w:r>
      <w:r>
        <w:t xml:space="preserve">Pakistan Islamabad</w:t>
      </w:r>
      <w:r>
        <w:t xml:space="preserve"> </w:t>
      </w:r>
      <w:r>
        <w:t xml:space="preserve">in accordance with the Arbitration Act, 1940 of Pakistan.</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fee structure outlined for the engagement of the</w:t>
      </w:r>
      <w:r>
        <w:t xml:space="preserve"> </w:t>
      </w:r>
      <w:r>
        <w:t xml:space="preserve">Accountant</w:t>
      </w:r>
      <w:r>
        <w:t xml:space="preserve"> </w:t>
      </w:r>
      <w:r>
        <w:t xml:space="preserve">in</w:t>
      </w:r>
      <w:r>
        <w:t xml:space="preserve"> </w:t>
      </w:r>
      <w:r>
        <w:t xml:space="preserve">Pakistan Islamabad</w:t>
      </w:r>
      <w:r>
        <w:t xml:space="preserve">. This document, once countersigned by both parties, shall constitute a binding service agreement.</w:t>
      </w:r>
    </w:p>
    <w:p>
      <w:pPr>
        <w:pStyle w:val="BodyText"/>
      </w:pPr>
      <w:r>
        <w:rPr>
          <w:bCs/>
          <w:b/>
        </w:rPr>
        <w:t xml:space="preserve">For and on behalf of:</w:t>
      </w:r>
      <w:r>
        <w:br/>
      </w:r>
      <w:r>
        <w:t xml:space="preserve">Al-Haq Accounting &amp; Financial Advisory Services (Pvt.) Ltd.</w:t>
      </w:r>
    </w:p>
    <w:p>
      <w:pPr>
        <w:pStyle w:val="BodyText"/>
      </w:pPr>
      <w:r>
        <w:t xml:space="preserve">Authorized Signatory</w:t>
      </w:r>
      <w:r>
        <w:br/>
      </w:r>
      <w:r>
        <w:t xml:space="preserve">Name: _______________________</w:t>
      </w:r>
      <w:r>
        <w:br/>
      </w:r>
      <w:r>
        <w:t xml:space="preserve">Designation: Managing Partner, CA</w:t>
      </w:r>
      <w:r>
        <w:br/>
      </w:r>
      <w:r>
        <w:t xml:space="preserve">Date: _______________________</w:t>
      </w:r>
    </w:p>
    <w:p>
      <w:pPr>
        <w:pStyle w:val="BodyText"/>
      </w:pPr>
      <w:r>
        <w:rPr>
          <w:bCs/>
          <w:b/>
        </w:rPr>
        <w:t xml:space="preserve">For and on behalf of the Client:</w:t>
      </w:r>
      <w:r>
        <w:br/>
      </w:r>
      <w:r>
        <w:t xml:space="preserve">[Client Company Name]</w:t>
      </w:r>
    </w:p>
    <w:p>
      <w:pPr>
        <w:pStyle w:val="BodyText"/>
      </w:pPr>
      <w:r>
        <w:t xml:space="preserve">Authorized Signatory</w:t>
      </w:r>
      <w:r>
        <w:br/>
      </w:r>
      <w:r>
        <w:t xml:space="preserve">Name: _______________________</w:t>
      </w:r>
      <w:r>
        <w:br/>
      </w:r>
      <w:r>
        <w:t xml:space="preserve">Designation: _______________________</w:t>
      </w:r>
      <w:r>
        <w:br/>
      </w:r>
      <w:r>
        <w:t xml:space="preserve">Date: _______________________</w:t>
      </w:r>
    </w:p>
    <w:p>
      <w:pPr>
        <w:pStyle w:val="BodyText"/>
      </w:pPr>
      <w:r>
        <w:t xml:space="preserve">This Quotation Estimate document was prepared and issued in Pakistan Islamabad. All references to regulatory bodies, tax authorities, and professional standards pertain to the jurisdiction of Pakistan Islamabad and the Republic of Pakistan. This document is the property of Al-Haq Accounting &amp; Financial Advisory Services (Pvt.) Ltd. and may not be reproduced or distributed without prior written consent.</w:t>
      </w:r>
    </w:p>
    <w:p>
      <w:pPr>
        <w:pStyle w:val="BodyText"/>
      </w:pPr>
      <w:r>
        <w:t xml:space="preserve">Document Ref: QTE-ISB-2025-0472 | Page 1 of 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Accountant Services - Pakistan Islamabad</dc:title>
  <dc:creator/>
  <dc:language>en</dc:language>
  <cp:keywords/>
  <dcterms:created xsi:type="dcterms:W3CDTF">2026-10-10T10:21:17Z</dcterms:created>
  <dcterms:modified xsi:type="dcterms:W3CDTF">2026-10-10T10:21:17Z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