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Al Rayyan Professional Accounting &amp; Advisory Services LLC</w:t>
      </w:r>
    </w:p>
    <w:p>
      <w:pPr>
        <w:pStyle w:val="BodyText"/>
      </w:pPr>
      <w:r>
        <w:t xml:space="preserve">Office 14, Level 3, Doha Financial Centre, West Bay, Doha, State of Qatar</w:t>
      </w:r>
    </w:p>
    <w:p>
      <w:pPr>
        <w:pStyle w:val="BodyText"/>
      </w:pPr>
      <w:r>
        <w:t xml:space="preserve">Tel: +974 4455 6677 | Email: quotations@alrayyanaccounting.qa</w:t>
      </w:r>
    </w:p>
    <w:p>
      <w:pPr>
        <w:pStyle w:val="BodyText"/>
      </w:pPr>
      <w:r>
        <w:t xml:space="preserve">Qatar Commercial Registration No: 123456 | VAT No: QV-789012345</w:t>
      </w:r>
    </w:p>
    <w:bookmarkEnd w:id="20"/>
    <w:p>
      <w:pPr>
        <w:pStyle w:val="BodyText"/>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Al Rayyan Professional Accounting &amp; Advisory Services LLC to provide a comprehensive and transparent breakdown of professional</w:t>
      </w:r>
      <w:r>
        <w:t xml:space="preserve"> </w:t>
      </w:r>
      <w:r>
        <w:t xml:space="preserve">Accountant</w:t>
      </w:r>
      <w:r>
        <w:t xml:space="preserve"> </w:t>
      </w:r>
      <w:r>
        <w:t xml:space="preserve">services to be rendered to the client entity within the jurisdiction of</w:t>
      </w:r>
      <w:r>
        <w:t xml:space="preserve"> </w:t>
      </w:r>
      <w:r>
        <w:t xml:space="preserve">Qatar Doha</w:t>
      </w:r>
      <w:r>
        <w:t xml:space="preserve">. This document serves as a binding financial proposal outlining the scope, deliverables, timelines, and associated costs for the engagement of a qualified and certified</w:t>
      </w:r>
      <w:r>
        <w:t xml:space="preserve"> </w:t>
      </w:r>
      <w:r>
        <w:t xml:space="preserve">Accountant</w:t>
      </w:r>
      <w:r>
        <w:t xml:space="preserve"> </w:t>
      </w:r>
      <w:r>
        <w:t xml:space="preserve">to manage, oversee, and optimize the financial operations of the client's business in</w:t>
      </w:r>
      <w:r>
        <w:t xml:space="preserve"> </w:t>
      </w:r>
      <w:r>
        <w:t xml:space="preserve">Qatar Doha</w:t>
      </w:r>
      <w:r>
        <w:t xml:space="preserve">.</w:t>
      </w:r>
    </w:p>
    <w:p>
      <w:pPr>
        <w:pStyle w:val="BodyText"/>
      </w:pPr>
      <w:r>
        <w:t xml:space="preserve">Our firm has been operating in</w:t>
      </w:r>
      <w:r>
        <w:t xml:space="preserve"> </w:t>
      </w:r>
      <w:r>
        <w:t xml:space="preserve">Qatar Doha</w:t>
      </w:r>
      <w:r>
        <w:t xml:space="preserve"> </w:t>
      </w:r>
      <w:r>
        <w:t xml:space="preserve">for over twelve years, serving multinational corporations, local SMEs, and government-linked entities with top-tier</w:t>
      </w:r>
      <w:r>
        <w:t xml:space="preserve"> </w:t>
      </w:r>
      <w:r>
        <w:t xml:space="preserve">Accountant</w:t>
      </w:r>
      <w:r>
        <w:t xml:space="preserve"> </w:t>
      </w:r>
      <w:r>
        <w:t xml:space="preserve">services. This</w:t>
      </w:r>
      <w:r>
        <w:t xml:space="preserve"> </w:t>
      </w:r>
      <w:r>
        <w:t xml:space="preserve">Quotation Estimate</w:t>
      </w:r>
      <w:r>
        <w:t xml:space="preserve"> </w:t>
      </w:r>
      <w:r>
        <w:t xml:space="preserve">reflects our commitment to delivering value-driven financial management solutions tailored to the regulatory and commercial environment of</w:t>
      </w:r>
      <w:r>
        <w:t xml:space="preserve"> </w:t>
      </w:r>
      <w:r>
        <w:t xml:space="preserve">Qatar Doha</w:t>
      </w:r>
      <w:r>
        <w:t xml:space="preserve">.</w:t>
      </w:r>
    </w:p>
    <w:bookmarkEnd w:id="21"/>
    <w:bookmarkStart w:id="22" w:name="scope-of-accountant-services"/>
    <w:p>
      <w:pPr>
        <w:pStyle w:val="Heading2"/>
      </w:pPr>
      <w:r>
        <w:t xml:space="preserve">2. Scope of Accountant Services</w:t>
      </w:r>
    </w:p>
    <w:p>
      <w:pPr>
        <w:pStyle w:val="FirstParagraph"/>
      </w:pPr>
      <w:r>
        <w:t xml:space="preserve">The</w:t>
      </w:r>
      <w:r>
        <w:t xml:space="preserve"> </w:t>
      </w:r>
      <w:r>
        <w:t xml:space="preserve">Accountant</w:t>
      </w:r>
      <w:r>
        <w:t xml:space="preserve"> </w:t>
      </w:r>
      <w:r>
        <w:t xml:space="preserve">engagement proposed in this</w:t>
      </w:r>
      <w:r>
        <w:t xml:space="preserve"> </w:t>
      </w:r>
      <w:r>
        <w:t xml:space="preserve">Quotation Estimate</w:t>
      </w:r>
      <w:r>
        <w:t xml:space="preserve"> </w:t>
      </w:r>
      <w:r>
        <w:t xml:space="preserve">encompasses the following core service areas, all conducted in full compliance with the Qatar Financial Centre (QFC) regulations, the Ministry of Finance of Qatar, and the International Financial Reporting Standards (IFRS) as adopted in</w:t>
      </w:r>
      <w:r>
        <w:t xml:space="preserve"> </w:t>
      </w:r>
      <w:r>
        <w:t xml:space="preserve">Qatar Doha</w:t>
      </w:r>
      <w:r>
        <w:t xml:space="preserve">:</w:t>
      </w:r>
    </w:p>
    <w:p>
      <w:pPr>
        <w:numPr>
          <w:ilvl w:val="0"/>
          <w:numId w:val="1001"/>
        </w:numPr>
        <w:pStyle w:val="Compact"/>
      </w:pPr>
      <w:r>
        <w:t xml:space="preserve">Monthly preparation and reconciliation of general ledgers, trial balances, and management accounts.</w:t>
      </w:r>
    </w:p>
    <w:p>
      <w:pPr>
        <w:numPr>
          <w:ilvl w:val="0"/>
          <w:numId w:val="1001"/>
        </w:numPr>
        <w:pStyle w:val="Compact"/>
      </w:pPr>
      <w:r>
        <w:t xml:space="preserve">Preparation of statutory financial statements in accordance with Qatar's Commercial Companies Law and tax regulations applicable in</w:t>
      </w:r>
      <w:r>
        <w:t xml:space="preserve"> </w:t>
      </w:r>
      <w:r>
        <w:t xml:space="preserve">Qatar Doha</w:t>
      </w:r>
      <w:r>
        <w:t xml:space="preserve">.</w:t>
      </w:r>
    </w:p>
    <w:p>
      <w:pPr>
        <w:numPr>
          <w:ilvl w:val="0"/>
          <w:numId w:val="1001"/>
        </w:numPr>
        <w:pStyle w:val="Compact"/>
      </w:pPr>
      <w:r>
        <w:t xml:space="preserve">Monthly and quarterly VAT (Value Added Tax) return filing with the Qatar Tax Authority, ensuring full compliance with the 5% VAT regime in force in</w:t>
      </w:r>
      <w:r>
        <w:t xml:space="preserve"> </w:t>
      </w:r>
      <w:r>
        <w:t xml:space="preserve">Qatar Doha</w:t>
      </w:r>
      <w:r>
        <w:t xml:space="preserve">.</w:t>
      </w:r>
    </w:p>
    <w:p>
      <w:pPr>
        <w:numPr>
          <w:ilvl w:val="0"/>
          <w:numId w:val="1001"/>
        </w:numPr>
        <w:pStyle w:val="Compact"/>
      </w:pPr>
      <w:r>
        <w:t xml:space="preserve">Payroll processing, WPS (Wage Protection System) compliance, and end-of-service benefit calculations for all employees based in</w:t>
      </w:r>
      <w:r>
        <w:t xml:space="preserve"> </w:t>
      </w:r>
      <w:r>
        <w:t xml:space="preserve">Qatar Doha</w:t>
      </w:r>
      <w:r>
        <w:t xml:space="preserve">.</w:t>
      </w:r>
    </w:p>
    <w:p>
      <w:pPr>
        <w:numPr>
          <w:ilvl w:val="0"/>
          <w:numId w:val="1001"/>
        </w:numPr>
        <w:pStyle w:val="Compact"/>
      </w:pPr>
      <w:r>
        <w:t xml:space="preserve">Accounts payable and accounts receivable management, including aging analysis and cash flow forecasting.</w:t>
      </w:r>
    </w:p>
    <w:p>
      <w:pPr>
        <w:numPr>
          <w:ilvl w:val="0"/>
          <w:numId w:val="1001"/>
        </w:numPr>
        <w:pStyle w:val="Compact"/>
      </w:pPr>
      <w:r>
        <w:t xml:space="preserve">Annual audit support, tax audit preparation, and coordination with external auditors registered in</w:t>
      </w:r>
      <w:r>
        <w:t xml:space="preserve"> </w:t>
      </w:r>
      <w:r>
        <w:t xml:space="preserve">Qatar Doha</w:t>
      </w:r>
      <w:r>
        <w:t xml:space="preserve">.</w:t>
      </w:r>
    </w:p>
    <w:p>
      <w:pPr>
        <w:numPr>
          <w:ilvl w:val="0"/>
          <w:numId w:val="1001"/>
        </w:numPr>
        <w:pStyle w:val="Compact"/>
      </w:pPr>
      <w:r>
        <w:t xml:space="preserve">Budgeting, variance analysis, and monthly financial reporting to the Board of Directors.</w:t>
      </w:r>
    </w:p>
    <w:p>
      <w:pPr>
        <w:numPr>
          <w:ilvl w:val="0"/>
          <w:numId w:val="1001"/>
        </w:numPr>
        <w:pStyle w:val="Compact"/>
      </w:pPr>
      <w:r>
        <w:t xml:space="preserve">Advisory services on cost optimization, tax planning, and regulatory compliance specific to the</w:t>
      </w:r>
      <w:r>
        <w:t xml:space="preserve"> </w:t>
      </w:r>
      <w:r>
        <w:t xml:space="preserve">Qatar Doha</w:t>
      </w:r>
      <w:r>
        <w:t xml:space="preserve"> </w:t>
      </w:r>
      <w:r>
        <w:t xml:space="preserve">business environment.</w:t>
      </w:r>
    </w:p>
    <w:bookmarkEnd w:id="22"/>
    <w:bookmarkStart w:id="23" w:name="X28e44ef6d2312120de99665149dbb4160769539"/>
    <w:p>
      <w:pPr>
        <w:pStyle w:val="Heading2"/>
      </w:pPr>
      <w:r>
        <w:t xml:space="preserve">3. Detailed Quotation Estimate –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(QAR)</w:t>
            </w:r>
          </w:p>
        </w:tc>
        <w:tc>
          <w:tcPr/>
          <w:p>
            <w:pPr>
              <w:pStyle w:val="Compact"/>
              <w:jc w:val="left"/>
            </w:pPr>
            <w:r>
              <w:t xml:space="preserve">Annual Cost (QAR)</w:t>
            </w:r>
          </w:p>
        </w:tc>
      </w:tr>
      <w:tr>
        <w:tc>
          <w:tcPr/>
          <w:p>
            <w:pPr>
              <w:pStyle w:val="Compact"/>
              <w:jc w:val="left"/>
            </w:pPr>
            <w:r>
              <w:t xml:space="preserve">01</w:t>
            </w:r>
          </w:p>
        </w:tc>
        <w:tc>
          <w:tcPr/>
          <w:p>
            <w:pPr>
              <w:pStyle w:val="Compact"/>
              <w:jc w:val="left"/>
            </w:pPr>
            <w:r>
              <w:t xml:space="preserve">Senior</w:t>
            </w:r>
            <w:r>
              <w:t xml:space="preserve"> </w:t>
            </w:r>
            <w:r>
              <w:t xml:space="preserve">Accountant</w:t>
            </w:r>
            <w:r>
              <w:t xml:space="preserve"> </w:t>
            </w:r>
            <w:r>
              <w:t xml:space="preserve">– Full-time engagement (8 hrs/day, 5 days/week) for general ledger, reporting, and compliance in</w:t>
            </w:r>
            <w:r>
              <w:t xml:space="preserve"> </w:t>
            </w:r>
            <w:r>
              <w:t xml:space="preserve">Qatar Doha</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Junior</w:t>
            </w:r>
            <w:r>
              <w:t xml:space="preserve"> </w:t>
            </w:r>
            <w:r>
              <w:t xml:space="preserve">Accountant</w:t>
            </w:r>
            <w:r>
              <w:t xml:space="preserve"> </w:t>
            </w:r>
            <w:r>
              <w:t xml:space="preserve">– Part-time support (4 hrs/day) for data entry, reconciliations, and invoice processing</w:t>
            </w:r>
          </w:p>
        </w:tc>
        <w:tc>
          <w:tcPr/>
          <w:p>
            <w:pPr>
              <w:pStyle w:val="Compact"/>
              <w:jc w:val="left"/>
            </w:pPr>
            <w:r>
              <w:t xml:space="preserve">Monthly</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VAT and Tax Compliance Filing – Preparation and submission of all periodic tax returns to the Qatar Tax Authority in</w:t>
            </w:r>
            <w:r>
              <w:t xml:space="preserve"> </w:t>
            </w:r>
            <w:r>
              <w:t xml:space="preserve">Qatar Doha</w:t>
            </w:r>
          </w:p>
        </w:tc>
        <w:tc>
          <w:tcPr/>
          <w:p>
            <w:pPr>
              <w:pStyle w:val="Compact"/>
              <w:jc w:val="left"/>
            </w:pPr>
            <w:r>
              <w:t xml:space="preserve">Quarterly</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Payroll Processing &amp; WPS Compliance – Monthly salary disbursement, social insurance, and statutory deductions for up to 50 employees in</w:t>
            </w:r>
            <w:r>
              <w:t xml:space="preserve"> </w:t>
            </w:r>
            <w:r>
              <w:t xml:space="preserve">Qatar Doha</w:t>
            </w:r>
          </w:p>
        </w:tc>
        <w:tc>
          <w:tcPr/>
          <w:p>
            <w:pPr>
              <w:pStyle w:val="Compact"/>
              <w:jc w:val="left"/>
            </w:pPr>
            <w:r>
              <w:t xml:space="preserve">Monthly</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Annual Financial Statements &amp; Audit Support – IFRS-compliant annual reporting and coordination with statutory auditors in</w:t>
            </w:r>
            <w:r>
              <w:t xml:space="preserve"> </w:t>
            </w:r>
            <w:r>
              <w:t xml:space="preserve">Qatar Doha</w:t>
            </w:r>
          </w:p>
        </w:tc>
        <w:tc>
          <w:tcPr/>
          <w:p>
            <w:pPr>
              <w:pStyle w:val="Compact"/>
              <w:jc w:val="left"/>
            </w:pPr>
            <w:r>
              <w:t xml:space="preserve">Annually</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Management Reporting &amp; Board Pack – Monthly P&amp;L, Balance Sheet, Cash Flow, and KPI dashboard for senior management</w:t>
            </w:r>
          </w:p>
        </w:tc>
        <w:tc>
          <w:tcPr/>
          <w:p>
            <w:pPr>
              <w:pStyle w:val="Compact"/>
              <w:jc w:val="left"/>
            </w:pPr>
            <w:r>
              <w:t xml:space="preserve">Monthly</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Advisory &amp; Tax Planning Sessions – Quarterly strategic meetings with the</w:t>
            </w:r>
            <w:r>
              <w:t xml:space="preserve"> </w:t>
            </w:r>
            <w:r>
              <w:t xml:space="preserve">Accountant</w:t>
            </w:r>
            <w:r>
              <w:t xml:space="preserve"> </w:t>
            </w:r>
            <w:r>
              <w:t xml:space="preserve">team for cost optimization and regulatory guidance in</w:t>
            </w:r>
            <w:r>
              <w:t xml:space="preserve"> </w:t>
            </w:r>
            <w:r>
              <w:t xml:space="preserve">Qatar Doha</w:t>
            </w:r>
          </w:p>
        </w:tc>
        <w:tc>
          <w:tcPr/>
          <w:p>
            <w:pPr>
              <w:pStyle w:val="Compact"/>
              <w:jc w:val="left"/>
            </w:pPr>
            <w:r>
              <w:t xml:space="preserve">Quarterly</w:t>
            </w:r>
          </w:p>
        </w:tc>
        <w:tc>
          <w:tcPr/>
          <w:p>
            <w:pPr>
              <w:pStyle w:val="Compact"/>
              <w:jc w:val="left"/>
            </w:pPr>
            <w:r>
              <w:t xml:space="preserve">5,000.00</w:t>
            </w:r>
          </w:p>
        </w:tc>
        <w:tc>
          <w:tcPr/>
          <w:p>
            <w:pPr>
              <w:pStyle w:val="Compact"/>
              <w:jc w:val="left"/>
            </w:pPr>
            <w:r>
              <w:t xml:space="preserve">20,000.00</w:t>
            </w:r>
          </w:p>
        </w:tc>
      </w:tr>
      <w:tr>
        <w:tc>
          <w:tcPr/>
          <w:p>
            <w:pPr>
              <w:pStyle w:val="Compact"/>
              <w:jc w:val="left"/>
            </w:pPr>
            <w:r>
              <w:t xml:space="preserve">08</w:t>
            </w:r>
          </w:p>
        </w:tc>
        <w:tc>
          <w:tcPr/>
          <w:p>
            <w:pPr>
              <w:pStyle w:val="Compact"/>
              <w:jc w:val="left"/>
            </w:pPr>
            <w:r>
              <w:t xml:space="preserve">Software &amp; Technology Licensing – Annual subscription for cloud-based accounting platform (e.g., Xero, QuickBooks, or SAP Business One) hosted for</w:t>
            </w:r>
            <w:r>
              <w:t xml:space="preserve"> </w:t>
            </w:r>
            <w:r>
              <w:t xml:space="preserve">Qatar Doha</w:t>
            </w:r>
            <w:r>
              <w:t xml:space="preserve"> </w:t>
            </w:r>
            <w:r>
              <w:t xml:space="preserve">operations</w:t>
            </w:r>
          </w:p>
        </w:tc>
        <w:tc>
          <w:tcPr/>
          <w:p>
            <w:pPr>
              <w:pStyle w:val="Compact"/>
              <w:jc w:val="left"/>
            </w:pPr>
            <w:r>
              <w:t xml:space="preserve">Annually</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TOTAL ANNUAL QUOTATION ESTIMATE (QAR)</w:t>
            </w:r>
          </w:p>
        </w:tc>
        <w:tc>
          <w:tcPr/>
          <w:p>
            <w:pPr>
              <w:pStyle w:val="Compact"/>
              <w:jc w:val="left"/>
            </w:pPr>
            <w:r>
              <w:t xml:space="preserve">500,000.00</w:t>
            </w:r>
          </w:p>
        </w:tc>
      </w:tr>
      <w:tr>
        <w:tc>
          <w:tcPr>
            <w:gridSpan w:val="4"/>
          </w:tcPr>
          <w:p>
            <w:pPr>
              <w:pStyle w:val="Compact"/>
              <w:jc w:val="right"/>
            </w:pPr>
            <w:r>
              <w:t xml:space="preserve">TOTAL ANNUAL QUOTATION ESTIMATE (USD – Approx. at 3.64 QAR/USD)</w:t>
            </w:r>
          </w:p>
        </w:tc>
        <w:tc>
          <w:tcPr/>
          <w:p>
            <w:pPr>
              <w:pStyle w:val="Compact"/>
              <w:jc w:val="left"/>
            </w:pPr>
            <w:r>
              <w:t xml:space="preserve">137,362.64</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Qatar Doha</w:t>
      </w:r>
      <w:r>
        <w:t xml:space="preserve">.</w:t>
      </w:r>
    </w:p>
    <w:p>
      <w:pPr>
        <w:numPr>
          <w:ilvl w:val="0"/>
          <w:numId w:val="1002"/>
        </w:numPr>
        <w:pStyle w:val="Compact"/>
      </w:pPr>
      <w:r>
        <w:t xml:space="preserve">All fees quoted are exclusive of 5% Qatar Value Added Tax (VAT), which shall be added to the final invoice upon service delivery.</w:t>
      </w:r>
    </w:p>
    <w:p>
      <w:pPr>
        <w:numPr>
          <w:ilvl w:val="0"/>
          <w:numId w:val="1002"/>
        </w:numPr>
        <w:pStyle w:val="Compact"/>
      </w:pPr>
      <w:r>
        <w:t xml:space="preserve">The</w:t>
      </w:r>
      <w:r>
        <w:t xml:space="preserve"> </w:t>
      </w:r>
      <w:r>
        <w:t xml:space="preserve">Accountant</w:t>
      </w:r>
      <w:r>
        <w:t xml:space="preserve"> </w:t>
      </w:r>
      <w:r>
        <w:t xml:space="preserve">team assigned to this engagement shall be based in our</w:t>
      </w:r>
      <w:r>
        <w:t xml:space="preserve"> </w:t>
      </w:r>
      <w:r>
        <w:t xml:space="preserve">Qatar Doha</w:t>
      </w:r>
      <w:r>
        <w:t xml:space="preserve"> </w:t>
      </w:r>
      <w:r>
        <w:t xml:space="preserve">office at Doha Financial Centre, West Bay, and shall have direct access to the client's premises as required.</w:t>
      </w:r>
    </w:p>
    <w:p>
      <w:pPr>
        <w:numPr>
          <w:ilvl w:val="0"/>
          <w:numId w:val="1002"/>
        </w:numPr>
        <w:pStyle w:val="Compact"/>
      </w:pPr>
      <w:r>
        <w:t xml:space="preserve">Payment terms: 50% advance upon acceptance of this</w:t>
      </w:r>
      <w:r>
        <w:t xml:space="preserve"> </w:t>
      </w:r>
      <w:r>
        <w:t xml:space="preserve">Quotation Estimate</w:t>
      </w:r>
      <w:r>
        <w:t xml:space="preserve">, with the remaining 50% payable in equal monthly installments over the engagement period.</w:t>
      </w:r>
    </w:p>
    <w:p>
      <w:pPr>
        <w:numPr>
          <w:ilvl w:val="0"/>
          <w:numId w:val="1002"/>
        </w:numPr>
        <w:pStyle w:val="Compact"/>
      </w:pPr>
      <w:r>
        <w:t xml:space="preserve">The client agrees to provide timely access to all financial records, bank statements, and supporting documentation necessary for the</w:t>
      </w:r>
      <w:r>
        <w:t xml:space="preserve"> </w:t>
      </w:r>
      <w:r>
        <w:t xml:space="preserve">Accountant</w:t>
      </w:r>
      <w:r>
        <w:t xml:space="preserve"> </w:t>
      </w:r>
      <w:r>
        <w:t xml:space="preserve">to perform duties in</w:t>
      </w:r>
      <w:r>
        <w:t xml:space="preserve"> </w:t>
      </w:r>
      <w:r>
        <w:t xml:space="preserve">Qatar Doha</w:t>
      </w:r>
      <w:r>
        <w:t xml:space="preserve">.</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fees.</w:t>
      </w:r>
    </w:p>
    <w:p>
      <w:pPr>
        <w:numPr>
          <w:ilvl w:val="0"/>
          <w:numId w:val="1002"/>
        </w:numPr>
        <w:pStyle w:val="Compact"/>
      </w:pPr>
      <w:r>
        <w:t xml:space="preserve">This engagement is governed by the laws of the State of Qatar, and any disputes shall be resolved through the competent courts in</w:t>
      </w:r>
      <w:r>
        <w:t xml:space="preserve"> </w:t>
      </w:r>
      <w:r>
        <w:t xml:space="preserve">Qatar Doha</w:t>
      </w:r>
      <w:r>
        <w:t xml:space="preserve">.</w:t>
      </w:r>
    </w:p>
    <w:p>
      <w:pPr>
        <w:numPr>
          <w:ilvl w:val="0"/>
          <w:numId w:val="1002"/>
        </w:numPr>
        <w:pStyle w:val="Compact"/>
      </w:pPr>
      <w:r>
        <w:t xml:space="preserve">Confidentiality: All financial data, trade secrets, and proprietary information shared during the engagement shall be treated as strictly confidential by the</w:t>
      </w:r>
      <w:r>
        <w:t xml:space="preserve"> </w:t>
      </w:r>
      <w:r>
        <w:t xml:space="preserve">Accountant</w:t>
      </w:r>
      <w:r>
        <w:t xml:space="preserve"> </w:t>
      </w:r>
      <w:r>
        <w:t xml:space="preserve">and all supporting staff.</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Accountant</w:t>
      </w:r>
      <w:r>
        <w:t xml:space="preserve"> </w:t>
      </w:r>
      <w:r>
        <w:t xml:space="preserve">services in</w:t>
      </w:r>
      <w:r>
        <w:t xml:space="preserve"> </w:t>
      </w:r>
      <w:r>
        <w:t xml:space="preserve">Qatar Doha</w:t>
      </w:r>
      <w:r>
        <w:t xml:space="preserve"> </w:t>
      </w:r>
      <w:r>
        <w:t xml:space="preserve">as presented herein. This signature constitutes a binding agreement to the terms, conditions, and pricing outlined in this document.</w:t>
      </w:r>
    </w:p>
    <w:p>
      <w:pPr>
        <w:pStyle w:val="BodyText"/>
      </w:pPr>
      <w:r>
        <w:t xml:space="preserve">Client Authorized Signatory</w:t>
      </w:r>
    </w:p>
    <w:p>
      <w:pPr>
        <w:pStyle w:val="BodyText"/>
      </w:pPr>
      <w:r>
        <w:t xml:space="preserve">Name: _________________________</w:t>
      </w:r>
      <w:r>
        <w:br/>
      </w:r>
      <w:r>
        <w:t xml:space="preserve">Title: _________________________</w:t>
      </w:r>
      <w:r>
        <w:br/>
      </w:r>
      <w:r>
        <w:t xml:space="preserve">Company: _________________________</w:t>
      </w:r>
      <w:r>
        <w:br/>
      </w:r>
      <w:r>
        <w:t xml:space="preserve">Date: _________________________</w:t>
      </w:r>
    </w:p>
    <w:p>
      <w:pPr>
        <w:pStyle w:val="BodyText"/>
      </w:pPr>
      <w:r>
        <w:t xml:space="preserve">Al Rayyan Professional Accounting &amp; Advisory Services LLC</w:t>
      </w:r>
    </w:p>
    <w:p>
      <w:pPr>
        <w:pStyle w:val="BodyText"/>
      </w:pPr>
      <w:r>
        <w:t xml:space="preserve">Name: _________________________</w:t>
      </w:r>
      <w:r>
        <w:br/>
      </w:r>
      <w:r>
        <w:t xml:space="preserve">Title: Managing Partner</w:t>
      </w:r>
      <w:r>
        <w:br/>
      </w:r>
      <w:r>
        <w:t xml:space="preserve">Date: _________________________</w:t>
      </w:r>
    </w:p>
    <w:p>
      <w:pPr>
        <w:pStyle w:val="BodyText"/>
      </w:pPr>
      <w:r>
        <w:t xml:space="preserve">This</w:t>
      </w:r>
      <w:r>
        <w:t xml:space="preserve"> </w:t>
      </w:r>
      <w:r>
        <w:t xml:space="preserve">Quotation Estimate</w:t>
      </w:r>
      <w:r>
        <w:t xml:space="preserve"> </w:t>
      </w:r>
      <w:r>
        <w:t xml:space="preserve">(Ref: QE-2025-04871) is issued by Al Rayyan Professional Accounting &amp; Advisory Services LLC, Doha, State of Qatar.</w:t>
      </w:r>
      <w:r>
        <w:t xml:space="preserve"> </w:t>
      </w:r>
      <w:r>
        <w:t xml:space="preserve">For any queries regarding this</w:t>
      </w:r>
      <w:r>
        <w:t xml:space="preserve"> </w:t>
      </w:r>
      <w:r>
        <w:t xml:space="preserve">Quotation Estimate</w:t>
      </w:r>
      <w:r>
        <w:t xml:space="preserve"> </w:t>
      </w:r>
      <w:r>
        <w:t xml:space="preserve">or the proposed</w:t>
      </w:r>
      <w:r>
        <w:t xml:space="preserve"> </w:t>
      </w:r>
      <w:r>
        <w:t xml:space="preserve">Accountant</w:t>
      </w:r>
      <w:r>
        <w:t xml:space="preserve"> </w:t>
      </w:r>
      <w:r>
        <w:t xml:space="preserve">services in</w:t>
      </w:r>
      <w:r>
        <w:t xml:space="preserve"> </w:t>
      </w:r>
      <w:r>
        <w:t xml:space="preserve">Qatar Doha</w:t>
      </w:r>
      <w:r>
        <w:t xml:space="preserve">, please contact our client relations team at +974 4455 6677 or quotations@alrayyanaccounting.qa.</w:t>
      </w:r>
    </w:p>
    <w:p>
      <w:pPr>
        <w:pStyle w:val="BodyText"/>
      </w:pPr>
      <w:r>
        <w:t xml:space="preserve">© 2025 Al Rayyan Professional Accounting &amp; Advisory Services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Qatar Doha</dc:title>
  <dc:creator/>
  <dc:language>en</dc:language>
  <cp:keywords/>
  <dcterms:created xsi:type="dcterms:W3CDTF">2026-10-10T07:27:09Z</dcterms:created>
  <dcterms:modified xsi:type="dcterms:W3CDTF">2026-10-10T07:27:09Z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