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Russia</w:t>
      </w:r>
      <w:r>
        <w:t xml:space="preserve"> </w:t>
      </w:r>
      <w:r>
        <w:t xml:space="preserve">Moscow</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Accountant Services</w:t>
      </w:r>
    </w:p>
    <w:p>
      <w:pPr>
        <w:pStyle w:val="BodyText"/>
      </w:pPr>
      <w:r>
        <w:t xml:space="preserve">Prepared for Clients Operating in Russia Moscow</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QTE-MOW-2025-04871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Provider:</w:t>
            </w:r>
          </w:p>
        </w:tc>
        <w:tc>
          <w:tcPr/>
          <w:p>
            <w:pPr>
              <w:pStyle w:val="Compact"/>
              <w:jc w:val="left"/>
            </w:pPr>
            <w:r>
              <w:t xml:space="preserve">Capital Accounting &amp; Advisory LLP, 12 Tverskaya Street, Building 4, Moscow, 125009, Russian Federation</w:t>
            </w:r>
          </w:p>
        </w:tc>
      </w:tr>
      <w:tr>
        <w:tc>
          <w:tcPr/>
          <w:p>
            <w:pPr>
              <w:pStyle w:val="Compact"/>
              <w:jc w:val="left"/>
            </w:pPr>
            <w:r>
              <w:t xml:space="preserve">Client Name:</w:t>
            </w:r>
          </w:p>
        </w:tc>
        <w:tc>
          <w:tcPr/>
          <w:p>
            <w:pPr>
              <w:pStyle w:val="Compact"/>
              <w:jc w:val="left"/>
            </w:pPr>
            <w:r>
              <w:t xml:space="preserve">[Client Legal Entity Name], registered in Russia Moscow</w:t>
            </w:r>
          </w:p>
        </w:tc>
      </w:tr>
      <w:tr>
        <w:tc>
          <w:tcPr/>
          <w:p>
            <w:pPr>
              <w:pStyle w:val="Compact"/>
              <w:jc w:val="left"/>
            </w:pPr>
            <w:r>
              <w:t xml:space="preserve">Client INN / KPP:</w:t>
            </w:r>
          </w:p>
        </w:tc>
        <w:tc>
          <w:tcPr/>
          <w:p>
            <w:pPr>
              <w:pStyle w:val="Compact"/>
              <w:jc w:val="left"/>
            </w:pPr>
            <w:r>
              <w:t xml:space="preserve">[INN Number] / [KPP Number]</w:t>
            </w:r>
          </w:p>
        </w:tc>
      </w:tr>
      <w:tr>
        <w:tc>
          <w:tcPr/>
          <w:p>
            <w:pPr>
              <w:pStyle w:val="Compact"/>
              <w:jc w:val="left"/>
            </w:pPr>
            <w:r>
              <w:t xml:space="preserve">Currency of Estimate:</w:t>
            </w:r>
          </w:p>
        </w:tc>
        <w:tc>
          <w:tcPr/>
          <w:p>
            <w:pPr>
              <w:pStyle w:val="Compact"/>
              <w:jc w:val="left"/>
            </w:pPr>
            <w:r>
              <w:t xml:space="preserve">Russian Ruble (RUB / ₽)</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Capital Accounting &amp; Advisory LLP to provide a comprehensive and transparent breakdown of costs for professional Accountant services tailored to businesses operating within Russia Moscow. This document serves as a formal proposal outlining the full scope of accounting, tax compliance, and financial reporting services that our certified Accountant team will deliver to the Client. All pricing in this Quotation Estimate reflects current market rates in Russia Moscow as of the date of issue and complies with the Federal Tax Service (FNS) regulations applicable to the Moscow region.</w:t>
      </w:r>
    </w:p>
    <w:bookmarkEnd w:id="21"/>
    <w:bookmarkStart w:id="22" w:name="X512a481a75bd09bced6cee6478c03c13791ea67"/>
    <w:p>
      <w:pPr>
        <w:pStyle w:val="Heading2"/>
      </w:pPr>
      <w:r>
        <w:t xml:space="preserve">2. Detailed Breakdown of Accountant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Price (RUB, excl. VAT)</w:t>
            </w:r>
          </w:p>
        </w:tc>
      </w:tr>
      <w:tr>
        <w:tc>
          <w:tcPr/>
          <w:p>
            <w:pPr>
              <w:pStyle w:val="Compact"/>
              <w:jc w:val="left"/>
            </w:pPr>
            <w:r>
              <w:t xml:space="preserve">1</w:t>
            </w:r>
          </w:p>
        </w:tc>
        <w:tc>
          <w:tcPr/>
          <w:p>
            <w:pPr>
              <w:pStyle w:val="Compact"/>
              <w:jc w:val="left"/>
            </w:pPr>
            <w:r>
              <w:t xml:space="preserve">Monthly bookkeeping and ledger maintenance in compliance with Russian Accounting Standards (RAS / PBU)</w:t>
            </w:r>
          </w:p>
        </w:tc>
        <w:tc>
          <w:tcPr/>
          <w:p>
            <w:pPr>
              <w:pStyle w:val="Compact"/>
              <w:jc w:val="left"/>
            </w:pPr>
            <w:r>
              <w:t xml:space="preserve">Monthly</w:t>
            </w:r>
          </w:p>
        </w:tc>
        <w:tc>
          <w:tcPr/>
          <w:p>
            <w:pPr>
              <w:pStyle w:val="Compact"/>
              <w:jc w:val="left"/>
            </w:pPr>
            <w:r>
              <w:t xml:space="preserve">1 month</w:t>
            </w:r>
          </w:p>
        </w:tc>
        <w:tc>
          <w:tcPr/>
          <w:p>
            <w:pPr>
              <w:pStyle w:val="Compact"/>
              <w:jc w:val="left"/>
            </w:pPr>
            <w:r>
              <w:t xml:space="preserve">₽ 45,000.00</w:t>
            </w:r>
          </w:p>
        </w:tc>
      </w:tr>
      <w:tr>
        <w:tc>
          <w:tcPr/>
          <w:p>
            <w:pPr>
              <w:pStyle w:val="Compact"/>
              <w:jc w:val="left"/>
            </w:pPr>
            <w:r>
              <w:t xml:space="preserve">2</w:t>
            </w:r>
          </w:p>
        </w:tc>
        <w:tc>
          <w:tcPr/>
          <w:p>
            <w:pPr>
              <w:pStyle w:val="Compact"/>
              <w:jc w:val="left"/>
            </w:pPr>
            <w:r>
              <w:t xml:space="preserve">Preparation and electronic filing of VAT (NDS) declarations via the FNS Moscow regional portal</w:t>
            </w:r>
          </w:p>
        </w:tc>
        <w:tc>
          <w:tcPr/>
          <w:p>
            <w:pPr>
              <w:pStyle w:val="Compact"/>
              <w:jc w:val="left"/>
            </w:pPr>
            <w:r>
              <w:t xml:space="preserve">Quarterly</w:t>
            </w:r>
          </w:p>
        </w:tc>
        <w:tc>
          <w:tcPr/>
          <w:p>
            <w:pPr>
              <w:pStyle w:val="Compact"/>
              <w:jc w:val="left"/>
            </w:pPr>
            <w:r>
              <w:t xml:space="preserve">1 quarter</w:t>
            </w:r>
          </w:p>
        </w:tc>
        <w:tc>
          <w:tcPr/>
          <w:p>
            <w:pPr>
              <w:pStyle w:val="Compact"/>
              <w:jc w:val="left"/>
            </w:pPr>
            <w:r>
              <w:t xml:space="preserve">₽ 32,000.00</w:t>
            </w:r>
          </w:p>
        </w:tc>
      </w:tr>
      <w:tr>
        <w:tc>
          <w:tcPr/>
          <w:p>
            <w:pPr>
              <w:pStyle w:val="Compact"/>
              <w:jc w:val="left"/>
            </w:pPr>
            <w:r>
              <w:t xml:space="preserve">3</w:t>
            </w:r>
          </w:p>
        </w:tc>
        <w:tc>
          <w:tcPr/>
          <w:p>
            <w:pPr>
              <w:pStyle w:val="Compact"/>
              <w:jc w:val="left"/>
            </w:pPr>
            <w:r>
              <w:t xml:space="preserve">Calculation, withholding, and reporting of personal income tax (NDFL) and social insurance contributions for all employees</w:t>
            </w:r>
          </w:p>
        </w:tc>
        <w:tc>
          <w:tcPr/>
          <w:p>
            <w:pPr>
              <w:pStyle w:val="Compact"/>
              <w:jc w:val="left"/>
            </w:pPr>
            <w:r>
              <w:t xml:space="preserve">Monthly</w:t>
            </w:r>
          </w:p>
        </w:tc>
        <w:tc>
          <w:tcPr/>
          <w:p>
            <w:pPr>
              <w:pStyle w:val="Compact"/>
              <w:jc w:val="left"/>
            </w:pPr>
            <w:r>
              <w:t xml:space="preserve">1 month</w:t>
            </w:r>
          </w:p>
        </w:tc>
        <w:tc>
          <w:tcPr/>
          <w:p>
            <w:pPr>
              <w:pStyle w:val="Compact"/>
              <w:jc w:val="left"/>
            </w:pPr>
            <w:r>
              <w:t xml:space="preserve">₽ 28,000.00</w:t>
            </w:r>
          </w:p>
        </w:tc>
      </w:tr>
      <w:tr>
        <w:tc>
          <w:tcPr/>
          <w:p>
            <w:pPr>
              <w:pStyle w:val="Compact"/>
              <w:jc w:val="left"/>
            </w:pPr>
            <w:r>
              <w:t xml:space="preserve">4</w:t>
            </w:r>
          </w:p>
        </w:tc>
        <w:tc>
          <w:tcPr/>
          <w:p>
            <w:pPr>
              <w:pStyle w:val="Compact"/>
              <w:jc w:val="left"/>
            </w:pPr>
            <w:r>
              <w:t xml:space="preserve">Preparation of quarterly and annual financial statements (Balance Sheet, Income Statement, Notes) per Federal Accounting Standards</w:t>
            </w:r>
          </w:p>
        </w:tc>
        <w:tc>
          <w:tcPr/>
          <w:p>
            <w:pPr>
              <w:pStyle w:val="Compact"/>
              <w:jc w:val="left"/>
            </w:pPr>
            <w:r>
              <w:t xml:space="preserve">Annual</w:t>
            </w:r>
          </w:p>
        </w:tc>
        <w:tc>
          <w:tcPr/>
          <w:p>
            <w:pPr>
              <w:pStyle w:val="Compact"/>
              <w:jc w:val="left"/>
            </w:pPr>
            <w:r>
              <w:t xml:space="preserve">1 cycle</w:t>
            </w:r>
          </w:p>
        </w:tc>
        <w:tc>
          <w:tcPr/>
          <w:p>
            <w:pPr>
              <w:pStyle w:val="Compact"/>
              <w:jc w:val="left"/>
            </w:pPr>
            <w:r>
              <w:t xml:space="preserve">₽ 120,000.00</w:t>
            </w:r>
          </w:p>
        </w:tc>
      </w:tr>
      <w:tr>
        <w:tc>
          <w:tcPr/>
          <w:p>
            <w:pPr>
              <w:pStyle w:val="Compact"/>
              <w:jc w:val="left"/>
            </w:pPr>
            <w:r>
              <w:t xml:space="preserve">5</w:t>
            </w:r>
          </w:p>
        </w:tc>
        <w:tc>
          <w:tcPr/>
          <w:p>
            <w:pPr>
              <w:pStyle w:val="Compact"/>
              <w:jc w:val="left"/>
            </w:pPr>
            <w:r>
              <w:t xml:space="preserve">Payroll processing for up to 50 employees, including salary calculations, sick leave, and vacation pay per Russian Labor Code</w:t>
            </w:r>
          </w:p>
        </w:tc>
        <w:tc>
          <w:tcPr/>
          <w:p>
            <w:pPr>
              <w:pStyle w:val="Compact"/>
              <w:jc w:val="left"/>
            </w:pPr>
            <w:r>
              <w:t xml:space="preserve">Monthly</w:t>
            </w:r>
          </w:p>
        </w:tc>
        <w:tc>
          <w:tcPr/>
          <w:p>
            <w:pPr>
              <w:pStyle w:val="Compact"/>
              <w:jc w:val="left"/>
            </w:pPr>
            <w:r>
              <w:t xml:space="preserve">1 month</w:t>
            </w:r>
          </w:p>
        </w:tc>
        <w:tc>
          <w:tcPr/>
          <w:p>
            <w:pPr>
              <w:pStyle w:val="Compact"/>
              <w:jc w:val="left"/>
            </w:pPr>
            <w:r>
              <w:t xml:space="preserve">₽ 35,000.00</w:t>
            </w:r>
          </w:p>
        </w:tc>
      </w:tr>
      <w:tr>
        <w:tc>
          <w:tcPr/>
          <w:p>
            <w:pPr>
              <w:pStyle w:val="Compact"/>
              <w:jc w:val="left"/>
            </w:pPr>
            <w:r>
              <w:t xml:space="preserve">6</w:t>
            </w:r>
          </w:p>
        </w:tc>
        <w:tc>
          <w:tcPr/>
          <w:p>
            <w:pPr>
              <w:pStyle w:val="Compact"/>
              <w:jc w:val="left"/>
            </w:pPr>
            <w:r>
              <w:t xml:space="preserve">Reconciliation with suppliers, clients, and the FNS Moscow regional office; resolution of discrepancies</w:t>
            </w:r>
          </w:p>
        </w:tc>
        <w:tc>
          <w:tcPr/>
          <w:p>
            <w:pPr>
              <w:pStyle w:val="Compact"/>
              <w:jc w:val="left"/>
            </w:pPr>
            <w:r>
              <w:t xml:space="preserve">Monthly</w:t>
            </w:r>
          </w:p>
        </w:tc>
        <w:tc>
          <w:tcPr/>
          <w:p>
            <w:pPr>
              <w:pStyle w:val="Compact"/>
              <w:jc w:val="left"/>
            </w:pPr>
            <w:r>
              <w:t xml:space="preserve">1 month</w:t>
            </w:r>
          </w:p>
        </w:tc>
        <w:tc>
          <w:tcPr/>
          <w:p>
            <w:pPr>
              <w:pStyle w:val="Compact"/>
              <w:jc w:val="left"/>
            </w:pPr>
            <w:r>
              <w:t xml:space="preserve">₽ 18,000.00</w:t>
            </w:r>
          </w:p>
        </w:tc>
      </w:tr>
      <w:tr>
        <w:tc>
          <w:tcPr/>
          <w:p>
            <w:pPr>
              <w:pStyle w:val="Compact"/>
              <w:jc w:val="left"/>
            </w:pPr>
            <w:r>
              <w:t xml:space="preserve">7</w:t>
            </w:r>
          </w:p>
        </w:tc>
        <w:tc>
          <w:tcPr/>
          <w:p>
            <w:pPr>
              <w:pStyle w:val="Compact"/>
              <w:jc w:val="left"/>
            </w:pPr>
            <w:r>
              <w:t xml:space="preserve">Advisory support on tax optimization, transfer pricing documentation, and compliance with Moscow municipal tax regulations</w:t>
            </w:r>
          </w:p>
        </w:tc>
        <w:tc>
          <w:tcPr/>
          <w:p>
            <w:pPr>
              <w:pStyle w:val="Compact"/>
              <w:jc w:val="left"/>
            </w:pPr>
            <w:r>
              <w:t xml:space="preserve">As needed</w:t>
            </w:r>
          </w:p>
        </w:tc>
        <w:tc>
          <w:tcPr/>
          <w:p>
            <w:pPr>
              <w:pStyle w:val="Compact"/>
              <w:jc w:val="left"/>
            </w:pPr>
            <w:r>
              <w:t xml:space="preserve">Per hour</w:t>
            </w:r>
          </w:p>
        </w:tc>
        <w:tc>
          <w:tcPr/>
          <w:p>
            <w:pPr>
              <w:pStyle w:val="Compact"/>
              <w:jc w:val="left"/>
            </w:pPr>
            <w:r>
              <w:t xml:space="preserve">₽ 3,500.00</w:t>
            </w:r>
          </w:p>
        </w:tc>
      </w:tr>
      <w:tr>
        <w:tc>
          <w:tcPr/>
          <w:p>
            <w:pPr>
              <w:pStyle w:val="Compact"/>
              <w:jc w:val="left"/>
            </w:pPr>
            <w:r>
              <w:t xml:space="preserve">8</w:t>
            </w:r>
          </w:p>
        </w:tc>
        <w:tc>
          <w:tcPr/>
          <w:p>
            <w:pPr>
              <w:pStyle w:val="Compact"/>
              <w:jc w:val="left"/>
            </w:pPr>
            <w:r>
              <w:t xml:space="preserve">Management of primary accounting documents, archiving, and preparation for FNS audits in Russia Moscow</w:t>
            </w:r>
          </w:p>
        </w:tc>
        <w:tc>
          <w:tcPr/>
          <w:p>
            <w:pPr>
              <w:pStyle w:val="Compact"/>
              <w:jc w:val="left"/>
            </w:pPr>
            <w:r>
              <w:t xml:space="preserve">Monthly</w:t>
            </w:r>
          </w:p>
        </w:tc>
        <w:tc>
          <w:tcPr/>
          <w:p>
            <w:pPr>
              <w:pStyle w:val="Compact"/>
              <w:jc w:val="left"/>
            </w:pPr>
            <w:r>
              <w:t xml:space="preserve">1 month</w:t>
            </w:r>
          </w:p>
        </w:tc>
        <w:tc>
          <w:tcPr/>
          <w:p>
            <w:pPr>
              <w:pStyle w:val="Compact"/>
              <w:jc w:val="left"/>
            </w:pPr>
            <w:r>
              <w:t xml:space="preserve">₽ 15,000.00</w:t>
            </w:r>
          </w:p>
        </w:tc>
      </w:tr>
      <w:tr>
        <w:tc>
          <w:tcPr/>
          <w:p>
            <w:pPr>
              <w:pStyle w:val="Compact"/>
              <w:jc w:val="left"/>
            </w:pPr>
            <w:r>
              <w:t xml:space="preserve">9</w:t>
            </w:r>
          </w:p>
        </w:tc>
        <w:tc>
          <w:tcPr/>
          <w:p>
            <w:pPr>
              <w:pStyle w:val="Compact"/>
              <w:jc w:val="left"/>
            </w:pPr>
            <w:r>
              <w:t xml:space="preserve">Representation before the Federal Tax Service of Russia (Moscow Regional Directorate) during inspections or inquiries</w:t>
            </w:r>
          </w:p>
        </w:tc>
        <w:tc>
          <w:tcPr/>
          <w:p>
            <w:pPr>
              <w:pStyle w:val="Compact"/>
              <w:jc w:val="left"/>
            </w:pPr>
            <w:r>
              <w:t xml:space="preserve">As needed</w:t>
            </w:r>
          </w:p>
        </w:tc>
        <w:tc>
          <w:tcPr/>
          <w:p>
            <w:pPr>
              <w:pStyle w:val="Compact"/>
              <w:jc w:val="left"/>
            </w:pPr>
            <w:r>
              <w:t xml:space="preserve">Per case</w:t>
            </w:r>
          </w:p>
        </w:tc>
        <w:tc>
          <w:tcPr/>
          <w:p>
            <w:pPr>
              <w:pStyle w:val="Compact"/>
              <w:jc w:val="left"/>
            </w:pPr>
            <w:r>
              <w:t xml:space="preserve">₽ 50,000.00</w:t>
            </w:r>
          </w:p>
        </w:tc>
      </w:tr>
      <w:tr>
        <w:tc>
          <w:tcPr/>
          <w:p>
            <w:pPr>
              <w:pStyle w:val="Compact"/>
              <w:jc w:val="left"/>
            </w:pPr>
            <w:r>
              <w:t xml:space="preserve">10</w:t>
            </w:r>
          </w:p>
        </w:tc>
        <w:tc>
          <w:tcPr/>
          <w:p>
            <w:pPr>
              <w:pStyle w:val="Compact"/>
              <w:jc w:val="left"/>
            </w:pPr>
            <w:r>
              <w:t xml:space="preserve">Annual tax return preparation and filing (corporate profit tax, property tax, land tax) for entities registered in Russia Moscow</w:t>
            </w:r>
          </w:p>
        </w:tc>
        <w:tc>
          <w:tcPr/>
          <w:p>
            <w:pPr>
              <w:pStyle w:val="Compact"/>
              <w:jc w:val="left"/>
            </w:pPr>
            <w:r>
              <w:t xml:space="preserve">Annual</w:t>
            </w:r>
          </w:p>
        </w:tc>
        <w:tc>
          <w:tcPr/>
          <w:p>
            <w:pPr>
              <w:pStyle w:val="Compact"/>
              <w:jc w:val="left"/>
            </w:pPr>
            <w:r>
              <w:t xml:space="preserve">1 cycle</w:t>
            </w:r>
          </w:p>
        </w:tc>
        <w:tc>
          <w:tcPr/>
          <w:p>
            <w:pPr>
              <w:pStyle w:val="Compact"/>
              <w:jc w:val="left"/>
            </w:pPr>
            <w:r>
              <w:t xml:space="preserve">₽ 65,000.00</w:t>
            </w:r>
          </w:p>
        </w:tc>
      </w:tr>
    </w:tbl>
    <w:bookmarkEnd w:id="22"/>
    <w:bookmarkStart w:id="23" w:name="summary-of-costs"/>
    <w:p>
      <w:pPr>
        <w:pStyle w:val="Heading2"/>
      </w:pPr>
      <w:r>
        <w:t xml:space="preserve">3. Summary of Costs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(RUB)</w:t>
            </w:r>
          </w:p>
        </w:tc>
      </w:tr>
      <w:tr>
        <w:tc>
          <w:tcPr/>
          <w:p>
            <w:pPr>
              <w:pStyle w:val="Compact"/>
              <w:jc w:val="left"/>
            </w:pPr>
            <w:r>
              <w:t xml:space="preserve">Monthly recurring Accountant services (Items 1, 3, 5, 6, 8) — 12 months</w:t>
            </w:r>
          </w:p>
        </w:tc>
        <w:tc>
          <w:tcPr/>
          <w:p>
            <w:pPr>
              <w:pStyle w:val="Compact"/>
              <w:jc w:val="left"/>
            </w:pPr>
            <w:r>
              <w:t xml:space="preserve">₽ 1,428,000.00</w:t>
            </w:r>
          </w:p>
        </w:tc>
      </w:tr>
      <w:tr>
        <w:tc>
          <w:tcPr/>
          <w:p>
            <w:pPr>
              <w:pStyle w:val="Compact"/>
              <w:jc w:val="left"/>
            </w:pPr>
            <w:r>
              <w:t xml:space="preserve">Quarterly VAT filings (Item 2) — 4 quarters</w:t>
            </w:r>
          </w:p>
        </w:tc>
        <w:tc>
          <w:tcPr/>
          <w:p>
            <w:pPr>
              <w:pStyle w:val="Compact"/>
              <w:jc w:val="left"/>
            </w:pPr>
            <w:r>
              <w:t xml:space="preserve">₽ 128,000.00</w:t>
            </w:r>
          </w:p>
        </w:tc>
      </w:tr>
      <w:tr>
        <w:tc>
          <w:tcPr/>
          <w:p>
            <w:pPr>
              <w:pStyle w:val="Compact"/>
              <w:jc w:val="left"/>
            </w:pPr>
            <w:r>
              <w:t xml:space="preserve">Annual financial statements (Item 4)</w:t>
            </w:r>
          </w:p>
        </w:tc>
        <w:tc>
          <w:tcPr/>
          <w:p>
            <w:pPr>
              <w:pStyle w:val="Compact"/>
              <w:jc w:val="left"/>
            </w:pPr>
            <w:r>
              <w:t xml:space="preserve">₽ 120,000.00</w:t>
            </w:r>
          </w:p>
        </w:tc>
      </w:tr>
      <w:tr>
        <w:tc>
          <w:tcPr/>
          <w:p>
            <w:pPr>
              <w:pStyle w:val="Compact"/>
              <w:jc w:val="left"/>
            </w:pPr>
            <w:r>
              <w:t xml:space="preserve">Annual tax returns (Item 10)</w:t>
            </w:r>
          </w:p>
        </w:tc>
        <w:tc>
          <w:tcPr/>
          <w:p>
            <w:pPr>
              <w:pStyle w:val="Compact"/>
              <w:jc w:val="left"/>
            </w:pPr>
            <w:r>
              <w:t xml:space="preserve">₽ 65,000.00</w:t>
            </w:r>
          </w:p>
        </w:tc>
      </w:tr>
      <w:tr>
        <w:tc>
          <w:tcPr/>
          <w:p>
            <w:pPr>
              <w:pStyle w:val="Compact"/>
              <w:jc w:val="left"/>
            </w:pPr>
            <w:r>
              <w:t xml:space="preserve">Advisory and representation (Items 7, 9) — estimated allocation</w:t>
            </w:r>
          </w:p>
        </w:tc>
        <w:tc>
          <w:tcPr/>
          <w:p>
            <w:pPr>
              <w:pStyle w:val="Compact"/>
              <w:jc w:val="left"/>
            </w:pPr>
            <w:r>
              <w:t xml:space="preserve">₽ 120,000.00</w:t>
            </w:r>
          </w:p>
        </w:tc>
      </w:tr>
      <w:tr>
        <w:tc>
          <w:tcPr/>
          <w:p>
            <w:pPr>
              <w:pStyle w:val="Compact"/>
              <w:jc w:val="left"/>
            </w:pPr>
            <w:r>
              <w:t xml:space="preserve">Subtotal (excl. VAT)</w:t>
            </w:r>
          </w:p>
        </w:tc>
        <w:tc>
          <w:tcPr/>
          <w:p>
            <w:pPr>
              <w:pStyle w:val="Compact"/>
              <w:jc w:val="left"/>
            </w:pPr>
            <w:r>
              <w:t xml:space="preserve">₽ 1,861,000.00</w:t>
            </w:r>
          </w:p>
        </w:tc>
      </w:tr>
      <w:tr>
        <w:tc>
          <w:tcPr/>
          <w:p>
            <w:pPr>
              <w:pStyle w:val="Compact"/>
              <w:jc w:val="left"/>
            </w:pPr>
            <w:r>
              <w:t xml:space="preserve">VAT (20%)</w:t>
            </w:r>
          </w:p>
        </w:tc>
        <w:tc>
          <w:tcPr/>
          <w:p>
            <w:pPr>
              <w:pStyle w:val="Compact"/>
              <w:jc w:val="left"/>
            </w:pPr>
            <w:r>
              <w:t xml:space="preserve">₽ 372,200.00</w:t>
            </w:r>
          </w:p>
        </w:tc>
      </w:tr>
      <w:tr>
        <w:tc>
          <w:tcPr/>
          <w:p>
            <w:pPr>
              <w:pStyle w:val="Compact"/>
              <w:jc w:val="left"/>
            </w:pPr>
            <w:r>
              <w:t xml:space="preserve">Total Amount Due (incl. VAT)</w:t>
            </w:r>
          </w:p>
        </w:tc>
        <w:tc>
          <w:tcPr/>
          <w:p>
            <w:pPr>
              <w:pStyle w:val="Compact"/>
              <w:jc w:val="left"/>
            </w:pPr>
            <w:r>
              <w:t xml:space="preserve">₽ 2,233,200.00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the expiration date, pricing may be revised to reflect changes in the Russian tax code, FNS Moscow regional requirements, or market conditions in Russia Moscow.</w:t>
      </w:r>
    </w:p>
    <w:p>
      <w:pPr>
        <w:numPr>
          <w:ilvl w:val="0"/>
          <w:numId w:val="1001"/>
        </w:numPr>
        <w:pStyle w:val="Compact"/>
      </w:pPr>
      <w:r>
        <w:rPr>
          <w:bCs/>
          <w:b/>
        </w:rPr>
        <w:t xml:space="preserve">Payment Terms:</w:t>
      </w:r>
      <w:r>
        <w:t xml:space="preserve"> </w:t>
      </w:r>
      <w:r>
        <w:t xml:space="preserve">Payment for monthly Accountant services is due within ten (10) business days of the invoice date via bank transfer to the account of Capital Accounting &amp; Advisory LLP at Sberbank, Moscow branch. Annual and quarterly fees are payable in advance for the respective period.</w:t>
      </w:r>
    </w:p>
    <w:p>
      <w:pPr>
        <w:numPr>
          <w:ilvl w:val="0"/>
          <w:numId w:val="1001"/>
        </w:numPr>
        <w:pStyle w:val="Compact"/>
      </w:pPr>
      <w:r>
        <w:rPr>
          <w:bCs/>
          <w:b/>
        </w:rPr>
        <w:t xml:space="preserve">Scope Limitation:</w:t>
      </w:r>
      <w:r>
        <w:t xml:space="preserve"> </w:t>
      </w:r>
      <w:r>
        <w:t xml:space="preserve">The Accountant services described herein cover standard bookkeeping, tax filing, and reporting for a single legal entity registered in Russia Moscow. Additional entities, foreign subsidiaries, or complex cross-border transactions will be subject to a supplementary Quotation Estimate.</w:t>
      </w:r>
    </w:p>
    <w:p>
      <w:pPr>
        <w:numPr>
          <w:ilvl w:val="0"/>
          <w:numId w:val="1001"/>
        </w:numPr>
        <w:pStyle w:val="Compact"/>
      </w:pPr>
      <w:r>
        <w:rPr>
          <w:bCs/>
          <w:b/>
        </w:rPr>
        <w:t xml:space="preserve">Client Obligations:</w:t>
      </w:r>
      <w:r>
        <w:t xml:space="preserve"> </w:t>
      </w:r>
      <w:r>
        <w:t xml:space="preserve">The Client shall provide all primary accounting documents, bank statements, and supporting records to our Accountant team within five (5) business days of month-end. Failure to provide timely documentation may result in late filing penalties imposed by the FNS, which shall be borne by the Client.</w:t>
      </w:r>
    </w:p>
    <w:p>
      <w:pPr>
        <w:numPr>
          <w:ilvl w:val="0"/>
          <w:numId w:val="1001"/>
        </w:numPr>
        <w:pStyle w:val="Compact"/>
      </w:pPr>
      <w:r>
        <w:rPr>
          <w:bCs/>
          <w:b/>
        </w:rPr>
        <w:t xml:space="preserve">Confidentiality:</w:t>
      </w:r>
      <w:r>
        <w:t xml:space="preserve"> </w:t>
      </w:r>
      <w:r>
        <w:t xml:space="preserve">All financial data, tax information, and business records handled by our Accountant team are subject to strict confidentiality in accordance with Federal Law No. 152-FZ "On Personal Data" and the professional ethics code of the Russian Association of Chartered Accountants.</w:t>
      </w:r>
    </w:p>
    <w:p>
      <w:pPr>
        <w:numPr>
          <w:ilvl w:val="0"/>
          <w:numId w:val="1001"/>
        </w:numPr>
        <w:pStyle w:val="Compact"/>
      </w:pPr>
      <w:r>
        <w:rPr>
          <w:bCs/>
          <w:b/>
        </w:rPr>
        <w:t xml:space="preserve">Liability:</w:t>
      </w:r>
      <w:r>
        <w:t xml:space="preserve"> </w:t>
      </w:r>
      <w:r>
        <w:t xml:space="preserve">Capital Accounting &amp; Advisory LLP shall not be held liable for penalties, fines, or interest imposed by the Federal Tax Service of Russia or any Moscow municipal authority arising from incomplete or inaccurate information provided by the Client.</w:t>
      </w:r>
    </w:p>
    <w:p>
      <w:pPr>
        <w:numPr>
          <w:ilvl w:val="0"/>
          <w:numId w:val="1001"/>
        </w:numPr>
        <w:pStyle w:val="Compact"/>
      </w:pPr>
      <w:r>
        <w:rPr>
          <w:bCs/>
          <w:b/>
        </w:rPr>
        <w:t xml:space="preserve">Governing Law:</w:t>
      </w:r>
      <w:r>
        <w:t xml:space="preserve"> </w:t>
      </w:r>
      <w:r>
        <w:t xml:space="preserve">This Quotation Estimate and any resulting service agreement shall be governed by and interpreted in accordance with the Civil Code of the Russian Federation and applicable tax legislation of Russia Moscow.</w:t>
      </w:r>
    </w:p>
    <w:p>
      <w:pPr>
        <w:numPr>
          <w:ilvl w:val="0"/>
          <w:numId w:val="1001"/>
        </w:numPr>
        <w:pStyle w:val="Compact"/>
      </w:pPr>
      <w:r>
        <w:rPr>
          <w:bCs/>
          <w:b/>
        </w:rPr>
        <w:t xml:space="preserve">Dispute Resolution:</w:t>
      </w:r>
      <w:r>
        <w:t xml:space="preserve"> </w:t>
      </w:r>
      <w:r>
        <w:t xml:space="preserve">Any disputes arising from this Quotation Estimate shall first be subject to negotiation. If unresolved, disputes shall be referred to the Arbitration Court of the City of Moscow.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Accountant services in Russia Moscow and agrees to the terms, conditions, and pricing outlined herein. Upon acceptance, a formal Service Agreement shall be executed within five (5) business days.</w:t>
      </w:r>
    </w:p>
    <w:p>
      <w:pPr>
        <w:pStyle w:val="BodyText"/>
      </w:pPr>
      <w:r>
        <w:rPr>
          <w:bCs/>
          <w:b/>
        </w:rPr>
        <w:t xml:space="preserve">For the Service Provider:</w:t>
      </w:r>
    </w:p>
    <w:p>
      <w:pPr>
        <w:pStyle w:val="BodyText"/>
      </w:pPr>
      <w:r>
        <w:t xml:space="preserve">Capital Accounting &amp; Advisory LLP</w:t>
      </w:r>
    </w:p>
    <w:p>
      <w:pPr>
        <w:pStyle w:val="BodyText"/>
      </w:pPr>
      <w:r>
        <w:t xml:space="preserve">Name: ___________________________</w:t>
      </w:r>
      <w:r>
        <w:br/>
      </w:r>
      <w:r>
        <w:t xml:space="preserve">Title: Chief Accountant / Director</w:t>
      </w:r>
      <w:r>
        <w:br/>
      </w:r>
      <w:r>
        <w:t xml:space="preserve">Signature: _______________________</w:t>
      </w:r>
      <w:r>
        <w:br/>
      </w:r>
      <w:r>
        <w:t xml:space="preserve">Date: ___________________________</w:t>
      </w:r>
    </w:p>
    <w:p>
      <w:pPr>
        <w:pStyle w:val="BodyText"/>
      </w:pPr>
      <w:r>
        <w:rPr>
          <w:bCs/>
          <w:b/>
        </w:rPr>
        <w:t xml:space="preserve">For the Client:</w:t>
      </w:r>
    </w:p>
    <w:p>
      <w:pPr>
        <w:pStyle w:val="BodyText"/>
      </w:pPr>
      <w:r>
        <w:t xml:space="preserve">[Client Legal Entity Name]</w:t>
      </w:r>
    </w:p>
    <w:p>
      <w:pPr>
        <w:pStyle w:val="BodyText"/>
      </w:pP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rPr>
          <w:bCs/>
          <w:b/>
        </w:rPr>
        <w:t xml:space="preserve">Note:</w:t>
      </w:r>
      <w:r>
        <w:t xml:space="preserve"> </w:t>
      </w:r>
      <w:r>
        <w:t xml:space="preserve">This Quotation Estimate is a non-binding proposal until formally accepted by both parties through a signed Service Agreement. All prices are quoted in Russian Rubles (RUB) and are subject to the VAT rate in effect in Russia Moscow at the time of service delivery. This document does not constitute a tax advisory opinion. For specific tax planning in Russia Moscow, a separate engagement with our senior Accountant consultants is recommended.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Russia Moscow</dc:title>
  <dc:creator/>
  <dc:language>en</dc:language>
  <cp:keywords/>
  <dcterms:created xsi:type="dcterms:W3CDTF">2026-10-10T09:53:00Z</dcterms:created>
  <dcterms:modified xsi:type="dcterms:W3CDTF">2026-10-10T09:53:00Z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