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t xml:space="preserve">Professional Accountant Services | Russia Saint Petersburg</w:t>
      </w:r>
    </w:p>
    <w:p>
      <w:pPr>
        <w:pStyle w:val="BodyText"/>
      </w:pPr>
      <w:r>
        <w:t xml:space="preserve">Document Reference: QTE-SPB-2025-04782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Date:</w:t>
            </w:r>
          </w:p>
        </w:tc>
        <w:tc>
          <w:tcPr/>
          <w:p>
            <w:pPr>
              <w:pStyle w:val="Compact"/>
              <w:jc w:val="left"/>
            </w:pPr>
            <w:r>
              <w:t xml:space="preserve">15 June 2025</w:t>
            </w:r>
          </w:p>
        </w:tc>
      </w:tr>
      <w:tr>
        <w:tc>
          <w:tcPr/>
          <w:p>
            <w:pPr>
              <w:pStyle w:val="Compact"/>
              <w:jc w:val="left"/>
            </w:pPr>
            <w:r>
              <w:t xml:space="preserve">Quotation 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St. Petersburg Accounting &amp; Financial Advisory Group LLC</w:t>
            </w:r>
          </w:p>
        </w:tc>
      </w:tr>
      <w:tr>
        <w:tc>
          <w:tcPr/>
          <w:p>
            <w:pPr>
              <w:pStyle w:val="Compact"/>
              <w:jc w:val="left"/>
            </w:pPr>
            <w:r>
              <w:t xml:space="preserve">Address:</w:t>
            </w:r>
          </w:p>
        </w:tc>
        <w:tc>
          <w:tcPr/>
          <w:p>
            <w:pPr>
              <w:pStyle w:val="Compact"/>
              <w:jc w:val="left"/>
            </w:pPr>
            <w:r>
              <w:t xml:space="preserve">12 Nevsky Prospekt, Building 4, Floor 7, Saint Petersburg, 191011, Russian Federation</w:t>
            </w:r>
          </w:p>
        </w:tc>
      </w:tr>
      <w:tr>
        <w:tc>
          <w:tcPr/>
          <w:p>
            <w:pPr>
              <w:pStyle w:val="Compact"/>
              <w:jc w:val="left"/>
            </w:pPr>
            <w:r>
              <w:t xml:space="preserve">Contact:</w:t>
            </w:r>
          </w:p>
        </w:tc>
        <w:tc>
          <w:tcPr/>
          <w:p>
            <w:pPr>
              <w:pStyle w:val="Compact"/>
              <w:jc w:val="left"/>
            </w:pPr>
            <w:r>
              <w:t xml:space="preserve">accounting@spb-afag.ru | +7 (812) 335-78-20</w:t>
            </w:r>
          </w:p>
        </w:tc>
      </w:tr>
      <w:tr>
        <w:tc>
          <w:tcPr/>
          <w:p>
            <w:pPr>
              <w:pStyle w:val="Compact"/>
              <w:jc w:val="left"/>
            </w:pPr>
            <w:r>
              <w:t xml:space="preserve">Prepared For:</w:t>
            </w:r>
          </w:p>
        </w:tc>
        <w:tc>
          <w:tcPr/>
          <w:p>
            <w:pPr>
              <w:pStyle w:val="Compact"/>
              <w:jc w:val="left"/>
            </w:pPr>
            <w:r>
              <w:t xml:space="preserve">[Client Name / Company Name]</w:t>
            </w:r>
          </w:p>
        </w:tc>
      </w:tr>
      <w:tr>
        <w:tc>
          <w:tcPr/>
          <w:p>
            <w:pPr>
              <w:pStyle w:val="Compact"/>
              <w:jc w:val="left"/>
            </w:pPr>
            <w:r>
              <w:t xml:space="preserve">Client Address:</w:t>
            </w:r>
          </w:p>
        </w:tc>
        <w:tc>
          <w:tcPr/>
          <w:p>
            <w:pPr>
              <w:pStyle w:val="Compact"/>
              <w:jc w:val="left"/>
            </w:pPr>
            <w:r>
              <w:t xml:space="preserve">[Client Address], Russia Saint Petersburg</w:t>
            </w:r>
          </w:p>
        </w:tc>
      </w:tr>
      <w:tr>
        <w:tc>
          <w:tcPr/>
          <w:p>
            <w:pPr>
              <w:pStyle w:val="Compact"/>
              <w:jc w:val="left"/>
            </w:pPr>
            <w:r>
              <w:t xml:space="preserve">Client INN / OGRN:</w:t>
            </w:r>
          </w:p>
        </w:tc>
        <w:tc>
          <w:tcPr/>
          <w:p>
            <w:pPr>
              <w:pStyle w:val="Compact"/>
              <w:jc w:val="left"/>
            </w:pPr>
            <w:r>
              <w:t xml:space="preserve">[Tax Identification Number / State Registration Number]</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St. Petersburg Accounting &amp; Financial Advisory Group LLC to provide a comprehensive and transparent breakdown of professional</w:t>
      </w:r>
      <w:r>
        <w:t xml:space="preserve"> </w:t>
      </w:r>
      <w:r>
        <w:t xml:space="preserve">Accountant</w:t>
      </w:r>
      <w:r>
        <w:t xml:space="preserve"> </w:t>
      </w:r>
      <w:r>
        <w:t xml:space="preserve">services to be rendered to the client within the jurisdiction of</w:t>
      </w:r>
      <w:r>
        <w:t xml:space="preserve"> </w:t>
      </w:r>
      <w:r>
        <w:t xml:space="preserve">Russia Saint Petersburg</w:t>
      </w:r>
      <w:r>
        <w:t xml:space="preserve">. This document outlines the scope of work, applicable fees, payment schedules, and all relevant terms governing the engagement. The Quotation Estimate is issued in accordance with the Federal Law of the Russian Federation on Accounting (No. 402-FZ) and the applicable tax regulations administered by the Federal Tax Service (FNS) for the Saint Petersburg and Leningrad Oblast region.</w:t>
      </w:r>
    </w:p>
    <w:bookmarkEnd w:id="21"/>
    <w:bookmarkStart w:id="22" w:name="scope-of-accountant-services"/>
    <w:p>
      <w:pPr>
        <w:pStyle w:val="Heading2"/>
      </w:pPr>
      <w:r>
        <w:t xml:space="preserve">2. Scope of Accountant Services</w:t>
      </w:r>
    </w:p>
    <w:p>
      <w:pPr>
        <w:pStyle w:val="FirstParagraph"/>
      </w:pPr>
      <w:r>
        <w:t xml:space="preserve">The following professional Accountant services are included in this Quotation Estimate for delivery in Russia Saint Petersburg. Each service has been tailored to comply with current Russian Federation accounting standards, tax codes, and regulatory reporting requirements specific to the Saint Petersburg municipal and regional authorities.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Accountant Service</w:t>
            </w:r>
          </w:p>
        </w:tc>
        <w:tc>
          <w:tcPr/>
          <w:p>
            <w:pPr>
              <w:pStyle w:val="Compact"/>
              <w:jc w:val="left"/>
            </w:pPr>
            <w:r>
              <w:t xml:space="preserve">Frequency</w:t>
            </w:r>
          </w:p>
        </w:tc>
        <w:tc>
          <w:tcPr/>
          <w:p>
            <w:pPr>
              <w:pStyle w:val="Compact"/>
              <w:jc w:val="left"/>
            </w:pPr>
            <w:r>
              <w:t xml:space="preserve">Unit</w:t>
            </w:r>
          </w:p>
        </w:tc>
        <w:tc>
          <w:tcPr/>
          <w:p>
            <w:pPr>
              <w:pStyle w:val="Compact"/>
              <w:jc w:val="left"/>
            </w:pPr>
            <w:r>
              <w:t xml:space="preserve">Fee (RUB, excl. VAT)</w:t>
            </w:r>
          </w:p>
        </w:tc>
      </w:tr>
      <w:tr>
        <w:tc>
          <w:tcPr/>
          <w:p>
            <w:pPr>
              <w:pStyle w:val="Compact"/>
              <w:jc w:val="left"/>
            </w:pPr>
            <w:r>
              <w:t xml:space="preserve">1</w:t>
            </w:r>
          </w:p>
        </w:tc>
        <w:tc>
          <w:tcPr/>
          <w:p>
            <w:pPr>
              <w:pStyle w:val="Compact"/>
              <w:jc w:val="left"/>
            </w:pPr>
            <w:r>
              <w:t xml:space="preserve">Monthly bookkeeping and ledger maintenance in compliance with Russian Accounting Standards (RAS) and IFRS where applicable</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45,000 / month</w:t>
            </w:r>
          </w:p>
        </w:tc>
      </w:tr>
      <w:tr>
        <w:tc>
          <w:tcPr/>
          <w:p>
            <w:pPr>
              <w:pStyle w:val="Compact"/>
              <w:jc w:val="left"/>
            </w:pPr>
            <w:r>
              <w:t xml:space="preserve">2</w:t>
            </w:r>
          </w:p>
        </w:tc>
        <w:tc>
          <w:tcPr/>
          <w:p>
            <w:pPr>
              <w:pStyle w:val="Compact"/>
              <w:jc w:val="left"/>
            </w:pPr>
            <w:r>
              <w:t xml:space="preserve">Preparation and filing of quarterly tax returns (VAT, profit tax, social contributions) with the FNS Saint Petersburg district office</w:t>
            </w:r>
          </w:p>
        </w:tc>
        <w:tc>
          <w:tcPr/>
          <w:p>
            <w:pPr>
              <w:pStyle w:val="Compact"/>
              <w:jc w:val="left"/>
            </w:pPr>
            <w:r>
              <w:t xml:space="preserve">Quarterly</w:t>
            </w:r>
          </w:p>
        </w:tc>
        <w:tc>
          <w:tcPr/>
          <w:p>
            <w:pPr>
              <w:pStyle w:val="Compact"/>
              <w:jc w:val="left"/>
            </w:pPr>
            <w:r>
              <w:t xml:space="preserve">4 filings</w:t>
            </w:r>
          </w:p>
        </w:tc>
        <w:tc>
          <w:tcPr/>
          <w:p>
            <w:pPr>
              <w:pStyle w:val="Compact"/>
              <w:jc w:val="left"/>
            </w:pPr>
            <w:r>
              <w:t xml:space="preserve">18,000 / filing</w:t>
            </w:r>
          </w:p>
        </w:tc>
      </w:tr>
      <w:tr>
        <w:tc>
          <w:tcPr/>
          <w:p>
            <w:pPr>
              <w:pStyle w:val="Compact"/>
              <w:jc w:val="left"/>
            </w:pPr>
            <w:r>
              <w:t xml:space="preserve">3</w:t>
            </w:r>
          </w:p>
        </w:tc>
        <w:tc>
          <w:tcPr/>
          <w:p>
            <w:pPr>
              <w:pStyle w:val="Compact"/>
              <w:jc w:val="left"/>
            </w:pPr>
            <w:r>
              <w:t xml:space="preserve">Annual financial statement preparation and audit-ready reporting package</w:t>
            </w:r>
          </w:p>
        </w:tc>
        <w:tc>
          <w:tcPr/>
          <w:p>
            <w:pPr>
              <w:pStyle w:val="Compact"/>
              <w:jc w:val="left"/>
            </w:pPr>
            <w:r>
              <w:t xml:space="preserve">Annual</w:t>
            </w:r>
          </w:p>
        </w:tc>
        <w:tc>
          <w:tcPr/>
          <w:p>
            <w:pPr>
              <w:pStyle w:val="Compact"/>
              <w:jc w:val="left"/>
            </w:pPr>
            <w:r>
              <w:t xml:space="preserve">1 package</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Payroll processing, personal income tax (NDFL) withholding, and social insurance reporting for up to 50 employees</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32,000 / month</w:t>
            </w:r>
          </w:p>
        </w:tc>
      </w:tr>
      <w:tr>
        <w:tc>
          <w:tcPr/>
          <w:p>
            <w:pPr>
              <w:pStyle w:val="Compact"/>
              <w:jc w:val="left"/>
            </w:pPr>
            <w:r>
              <w:t xml:space="preserve">5</w:t>
            </w:r>
          </w:p>
        </w:tc>
        <w:tc>
          <w:tcPr/>
          <w:p>
            <w:pPr>
              <w:pStyle w:val="Compact"/>
              <w:jc w:val="left"/>
            </w:pPr>
            <w:r>
              <w:t xml:space="preserve">Advisory on tax optimization, transfer pricing documentation, and compliance with Saint Petersburg local tax incentives</w:t>
            </w:r>
          </w:p>
        </w:tc>
        <w:tc>
          <w:tcPr/>
          <w:p>
            <w:pPr>
              <w:pStyle w:val="Compact"/>
              <w:jc w:val="left"/>
            </w:pPr>
            <w:r>
              <w:t xml:space="preserve">As needed</w:t>
            </w:r>
          </w:p>
        </w:tc>
        <w:tc>
          <w:tcPr/>
          <w:p>
            <w:pPr>
              <w:pStyle w:val="Compact"/>
              <w:jc w:val="left"/>
            </w:pPr>
            <w:r>
              <w:t xml:space="preserve">Up to 20 hours</w:t>
            </w:r>
          </w:p>
        </w:tc>
        <w:tc>
          <w:tcPr/>
          <w:p>
            <w:pPr>
              <w:pStyle w:val="Compact"/>
              <w:jc w:val="left"/>
            </w:pPr>
            <w:r>
              <w:t xml:space="preserve">3,500 / hour</w:t>
            </w:r>
          </w:p>
        </w:tc>
      </w:tr>
      <w:tr>
        <w:tc>
          <w:tcPr/>
          <w:p>
            <w:pPr>
              <w:pStyle w:val="Compact"/>
              <w:jc w:val="left"/>
            </w:pPr>
            <w:r>
              <w:t xml:space="preserve">6</w:t>
            </w:r>
          </w:p>
        </w:tc>
        <w:tc>
          <w:tcPr/>
          <w:p>
            <w:pPr>
              <w:pStyle w:val="Compact"/>
              <w:jc w:val="left"/>
            </w:pPr>
            <w:r>
              <w:t xml:space="preserve">Representation before the Federal Tax Service, Pension Fund (SFR), and Social Insurance Fund in Saint Petersburg</w:t>
            </w:r>
          </w:p>
        </w:tc>
        <w:tc>
          <w:tcPr/>
          <w:p>
            <w:pPr>
              <w:pStyle w:val="Compact"/>
              <w:jc w:val="left"/>
            </w:pPr>
            <w:r>
              <w:t xml:space="preserve">As needed</w:t>
            </w:r>
          </w:p>
        </w:tc>
        <w:tc>
          <w:tcPr/>
          <w:p>
            <w:pPr>
              <w:pStyle w:val="Compact"/>
              <w:jc w:val="left"/>
            </w:pPr>
            <w:r>
              <w:t xml:space="preserve">Up to 10 appearances</w:t>
            </w:r>
          </w:p>
        </w:tc>
        <w:tc>
          <w:tcPr/>
          <w:p>
            <w:pPr>
              <w:pStyle w:val="Compact"/>
              <w:jc w:val="left"/>
            </w:pPr>
            <w:r>
              <w:t xml:space="preserve">8,000 / appearance</w:t>
            </w:r>
          </w:p>
        </w:tc>
      </w:tr>
      <w:tr>
        <w:tc>
          <w:tcPr/>
          <w:p>
            <w:pPr>
              <w:pStyle w:val="Compact"/>
              <w:jc w:val="left"/>
            </w:pPr>
            <w:r>
              <w:t xml:space="preserve">7</w:t>
            </w:r>
          </w:p>
        </w:tc>
        <w:tc>
          <w:tcPr/>
          <w:p>
            <w:pPr>
              <w:pStyle w:val="Compact"/>
              <w:jc w:val="left"/>
            </w:pPr>
            <w:r>
              <w:t xml:space="preserve">Reconciliation of bank accounts, intercompany transactions, and fixed asset register</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12,000 / month</w:t>
            </w:r>
          </w:p>
        </w:tc>
      </w:tr>
      <w:tr>
        <w:tc>
          <w:tcPr/>
          <w:p>
            <w:pPr>
              <w:pStyle w:val="Compact"/>
              <w:jc w:val="left"/>
            </w:pPr>
            <w:r>
              <w:t xml:space="preserve">8</w:t>
            </w:r>
          </w:p>
        </w:tc>
        <w:tc>
          <w:tcPr/>
          <w:p>
            <w:pPr>
              <w:pStyle w:val="Compact"/>
              <w:jc w:val="left"/>
            </w:pPr>
            <w:r>
              <w:t xml:space="preserve">Digital document management integration (Diadoc, Kontur, or equivalent) and electronic reporting setup</w:t>
            </w:r>
          </w:p>
        </w:tc>
        <w:tc>
          <w:tcPr/>
          <w:p>
            <w:pPr>
              <w:pStyle w:val="Compact"/>
              <w:jc w:val="left"/>
            </w:pPr>
            <w:r>
              <w:t xml:space="preserve">One-time</w:t>
            </w:r>
          </w:p>
        </w:tc>
        <w:tc>
          <w:tcPr/>
          <w:p>
            <w:pPr>
              <w:pStyle w:val="Compact"/>
              <w:jc w:val="left"/>
            </w:pPr>
            <w:r>
              <w:t xml:space="preserve">1 setup</w:t>
            </w:r>
          </w:p>
        </w:tc>
        <w:tc>
          <w:tcPr/>
          <w:p>
            <w:pPr>
              <w:pStyle w:val="Compact"/>
              <w:jc w:val="left"/>
            </w:pPr>
            <w:r>
              <w:t xml:space="preserve">25,000</w:t>
            </w:r>
          </w:p>
        </w:tc>
      </w:tr>
      <w:tr>
        <w:tc>
          <w:tcPr>
            <w:gridSpan w:val="4"/>
          </w:tcPr>
          <w:p>
            <w:pPr>
              <w:pStyle w:val="Compact"/>
              <w:jc w:val="right"/>
            </w:pPr>
            <w:r>
              <w:t xml:space="preserve">TOTAL ESTIMATED ANNUAL FEE (excl. 20% VAT):</w:t>
            </w:r>
          </w:p>
        </w:tc>
        <w:tc>
          <w:tcPr/>
          <w:p>
            <w:pPr>
              <w:pStyle w:val="Compact"/>
              <w:jc w:val="left"/>
            </w:pPr>
            <w:r>
              <w:t xml:space="preserve">1,169,000 RUB</w:t>
            </w:r>
          </w:p>
        </w:tc>
      </w:tr>
      <w:tr>
        <w:tc>
          <w:tcPr>
            <w:gridSpan w:val="4"/>
          </w:tcPr>
          <w:p>
            <w:pPr>
              <w:pStyle w:val="Compact"/>
              <w:jc w:val="right"/>
            </w:pPr>
            <w:r>
              <w:t xml:space="preserve">VAT (20%):</w:t>
            </w:r>
          </w:p>
        </w:tc>
        <w:tc>
          <w:tcPr/>
          <w:p>
            <w:pPr>
              <w:pStyle w:val="Compact"/>
              <w:jc w:val="left"/>
            </w:pPr>
            <w:r>
              <w:t xml:space="preserve">233,800 RUB</w:t>
            </w:r>
          </w:p>
        </w:tc>
      </w:tr>
      <w:tr>
        <w:tc>
          <w:tcPr>
            <w:gridSpan w:val="4"/>
          </w:tcPr>
          <w:p>
            <w:pPr>
              <w:pStyle w:val="Compact"/>
              <w:jc w:val="right"/>
            </w:pPr>
            <w:r>
              <w:t xml:space="preserve">GRAND TOTAL (incl. VAT):</w:t>
            </w:r>
          </w:p>
        </w:tc>
        <w:tc>
          <w:tcPr/>
          <w:p>
            <w:pPr>
              <w:pStyle w:val="Compact"/>
              <w:jc w:val="left"/>
            </w:pPr>
            <w:r>
              <w:t xml:space="preserve">1,402,800 RUB</w:t>
            </w:r>
          </w:p>
        </w:tc>
      </w:tr>
    </w:tbl>
    <w:p>
      <w:pPr>
        <w:pStyle w:val="BodyText"/>
      </w:pPr>
      <w:r>
        <w:rPr>
          <w:bCs/>
          <w:b/>
        </w:rPr>
        <w:t xml:space="preserve">Note:</w:t>
      </w:r>
      <w:r>
        <w:t xml:space="preserve"> </w:t>
      </w:r>
      <w:r>
        <w:t xml:space="preserve">All fees stated in this Quotation Estimate are denominated in Russian Rubles (RUB) and are exclusive of Value Added Tax (VAT) at the standard rate of 20%, unless otherwise specified. The Accountant fees do not include third-party costs such as notary fees, court filing fees, or expedited processing charges levied by government agencies in Russia Saint Petersburg. Such costs will be reimbursed at actual upon prior written approval from the client.</w:t>
      </w:r>
    </w:p>
    <w:bookmarkEnd w:id="22"/>
    <w:bookmarkStart w:id="23" w:name="payment-terms"/>
    <w:p>
      <w:pPr>
        <w:pStyle w:val="Heading2"/>
      </w:pPr>
      <w:r>
        <w:t xml:space="preserve">3. Payment Terms</w:t>
      </w:r>
    </w:p>
    <w:p>
      <w:pPr>
        <w:pStyle w:val="FirstParagraph"/>
      </w:pPr>
      <w:r>
        <w:t xml:space="preserve">Payment for the Accountant services outlined in this Quotation Estimate shall be made in accordance with the following schedule:</w:t>
      </w:r>
    </w:p>
    <w:p>
      <w:pPr>
        <w:numPr>
          <w:ilvl w:val="0"/>
          <w:numId w:val="1001"/>
        </w:numPr>
        <w:pStyle w:val="Compact"/>
      </w:pPr>
      <w:r>
        <w:rPr>
          <w:bCs/>
          <w:b/>
        </w:rPr>
        <w:t xml:space="preserve">Advance Payment:</w:t>
      </w:r>
      <w:r>
        <w:t xml:space="preserve"> </w:t>
      </w:r>
      <w:r>
        <w:t xml:space="preserve">30% of the total annual fee (420,840 RUB incl. VAT) is due within 10 business days of the client's written acceptance of this Quotation Estimate.</w:t>
      </w:r>
    </w:p>
    <w:p>
      <w:pPr>
        <w:numPr>
          <w:ilvl w:val="0"/>
          <w:numId w:val="1001"/>
        </w:numPr>
        <w:pStyle w:val="Compact"/>
      </w:pPr>
      <w:r>
        <w:rPr>
          <w:bCs/>
          <w:b/>
        </w:rPr>
        <w:t xml:space="preserve">Monthly Installments:</w:t>
      </w:r>
      <w:r>
        <w:t xml:space="preserve"> </w:t>
      </w:r>
      <w:r>
        <w:t xml:space="preserve">The remaining 70% shall be paid in equal monthly installments of 78,480 RUB (incl. VAT), due on the 5th business day of each month, commencing the month following the advance payment.</w:t>
      </w:r>
    </w:p>
    <w:p>
      <w:pPr>
        <w:numPr>
          <w:ilvl w:val="0"/>
          <w:numId w:val="1001"/>
        </w:numPr>
        <w:pStyle w:val="Compact"/>
      </w:pPr>
      <w:r>
        <w:rPr>
          <w:bCs/>
          <w:b/>
        </w:rPr>
        <w:t xml:space="preserve">Payment Method:</w:t>
      </w:r>
      <w:r>
        <w:t xml:space="preserve"> </w:t>
      </w:r>
      <w:r>
        <w:t xml:space="preserve">Bank transfer to the account of St. Petersburg Accounting &amp; Financial Advisory Group LLC, Bank: Sberbank, Branch Saint Petersburg, Account: 40702 810 5 5500 0012345, BIK: 044030643, K/S: 30101810500000000643.</w:t>
      </w:r>
    </w:p>
    <w:p>
      <w:pPr>
        <w:numPr>
          <w:ilvl w:val="0"/>
          <w:numId w:val="1001"/>
        </w:numPr>
        <w:pStyle w:val="Compact"/>
      </w:pPr>
      <w:r>
        <w:rPr>
          <w:bCs/>
          <w:b/>
        </w:rPr>
        <w:t xml:space="preserve">Late Payment:</w:t>
      </w:r>
      <w:r>
        <w:t xml:space="preserve"> </w:t>
      </w:r>
      <w:r>
        <w:t xml:space="preserve">A penalty of 0.1% per calendar day of delay shall apply to overdue amounts, in accordance with Article 317.1 of the Civil Code of the Russian Federation.</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30 calendar days from the date of issue. Upon expiry, fees and terms may be subject to revision based on prevailing economic conditions in Russia Saint Petersburg.</w:t>
      </w:r>
    </w:p>
    <w:p>
      <w:pPr>
        <w:numPr>
          <w:ilvl w:val="0"/>
          <w:numId w:val="1002"/>
        </w:numPr>
        <w:pStyle w:val="Compact"/>
      </w:pPr>
      <w:r>
        <w:t xml:space="preserve">The Accountant engagement shall commence on the first business day following receipt of the full advance payment and execution of the formal Service Agreement.</w:t>
      </w:r>
    </w:p>
    <w:p>
      <w:pPr>
        <w:numPr>
          <w:ilvl w:val="0"/>
          <w:numId w:val="1002"/>
        </w:numPr>
        <w:pStyle w:val="Compact"/>
      </w:pPr>
      <w:r>
        <w:t xml:space="preserve">All work shall be performed in compliance with the Federal Law on Accounting (402-FZ), the Tax Code of the Russian Federation (Parts 1 and 2), and applicable regulations of the Ministry of Finance of the Russian Federation.</w:t>
      </w:r>
    </w:p>
    <w:p>
      <w:pPr>
        <w:numPr>
          <w:ilvl w:val="0"/>
          <w:numId w:val="1002"/>
        </w:numPr>
        <w:pStyle w:val="Compact"/>
      </w:pPr>
      <w:r>
        <w:t xml:space="preserve">The Accountant shall maintain strict confidentiality of all financial data, trade secrets, and proprietary information in accordance with Federal Law No. 152-FZ on Personal Data and the professional ethics code of the Russian Association of Chartered Accountants.</w:t>
      </w:r>
    </w:p>
    <w:p>
      <w:pPr>
        <w:numPr>
          <w:ilvl w:val="0"/>
          <w:numId w:val="1002"/>
        </w:numPr>
        <w:pStyle w:val="Compact"/>
      </w:pPr>
      <w:r>
        <w:t xml:space="preserve">Either party may terminate the engagement with 30 days' written notice. In the event of early termination, fees for services already rendered shall be non-refundable.</w:t>
      </w:r>
    </w:p>
    <w:p>
      <w:pPr>
        <w:numPr>
          <w:ilvl w:val="0"/>
          <w:numId w:val="1002"/>
        </w:numPr>
        <w:pStyle w:val="Compact"/>
      </w:pPr>
      <w:r>
        <w:t xml:space="preserve">This Quotation Estimate does not constitute a binding contract until a formal Service Agreement is executed by both parties. All terms herein are subject to the final agreement.</w:t>
      </w:r>
    </w:p>
    <w:p>
      <w:pPr>
        <w:numPr>
          <w:ilvl w:val="0"/>
          <w:numId w:val="1002"/>
        </w:numPr>
        <w:pStyle w:val="Compact"/>
      </w:pPr>
      <w:r>
        <w:t xml:space="preserve">Disputes arising from this Quotation Estimate or the subsequent engagement shall be resolved through the Arbitration Court of Saint Petersburg and Leningrad Oblast, in accordance with the applicable procedural rules of the Russian Federation.</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for Accountant services in Russia Saint Petersburg and agrees to the terms, fees, and conditions set forth herein. This acceptance authorizes St. Petersburg Accounting &amp; Financial Advisory Group LLC to proceed with the preparation of the formal Service Agreement.</w:t>
      </w:r>
    </w:p>
    <w:p>
      <w:pPr>
        <w:pStyle w:val="BodyText"/>
      </w:pPr>
      <w:r>
        <w:rPr>
          <w:bCs/>
          <w:b/>
        </w:rPr>
        <w:t xml:space="preserve">For the Service Provider:</w:t>
      </w:r>
    </w:p>
    <w:p>
      <w:pPr>
        <w:pStyle w:val="BodyText"/>
      </w:pPr>
      <w:r>
        <w:t xml:space="preserve">St. Petersburg Accounting &amp; Financial Advisory Group LLC</w:t>
      </w:r>
    </w:p>
    <w:p>
      <w:pPr>
        <w:pStyle w:val="BodyText"/>
      </w:pPr>
      <w:r>
        <w:t xml:space="preserve">Name: _______________________</w:t>
      </w:r>
      <w:r>
        <w:br/>
      </w:r>
      <w:r>
        <w:t xml:space="preserve">Title: Chief Accountant / Director</w:t>
      </w:r>
      <w:r>
        <w:br/>
      </w:r>
      <w:r>
        <w:t xml:space="preserve">Signature: _______________________</w:t>
      </w:r>
      <w:r>
        <w:br/>
      </w:r>
      <w:r>
        <w:t xml:space="preserve">Date: _______________________</w:t>
      </w:r>
      <w:r>
        <w:br/>
      </w:r>
      <w:r>
        <w:t xml:space="preserve">Company Seal:</w:t>
      </w:r>
    </w:p>
    <w:p>
      <w:pPr>
        <w:pStyle w:val="BodyText"/>
      </w:pPr>
      <w:r>
        <w:rPr>
          <w:bCs/>
          <w:b/>
        </w:rPr>
        <w:t xml:space="preserve">For the Client:</w:t>
      </w:r>
    </w:p>
    <w:p>
      <w:pPr>
        <w:pStyle w:val="BodyText"/>
      </w:pPr>
      <w:r>
        <w:t xml:space="preserve">[Client Company Name]</w:t>
      </w:r>
    </w:p>
    <w:p>
      <w:pPr>
        <w:pStyle w:val="BodyText"/>
      </w:pPr>
      <w:r>
        <w:t xml:space="preserve">Name: _______________________</w:t>
      </w:r>
      <w:r>
        <w:br/>
      </w:r>
      <w:r>
        <w:t xml:space="preserve">Title: _______________________</w:t>
      </w:r>
      <w:r>
        <w:br/>
      </w:r>
      <w:r>
        <w:t xml:space="preserve">Signature: _______________________</w:t>
      </w:r>
      <w:r>
        <w:br/>
      </w:r>
      <w:r>
        <w:t xml:space="preserve">Date: _______________________</w:t>
      </w:r>
      <w:r>
        <w:br/>
      </w:r>
      <w:r>
        <w:t xml:space="preserve">Company Seal:</w:t>
      </w:r>
    </w:p>
    <w:p>
      <w:pPr>
        <w:pStyle w:val="BodyText"/>
      </w:pPr>
      <w:r>
        <w:t xml:space="preserve">Quotation Estimate QTE-SPB-2025-04782 | St. Petersburg Accounting &amp; Financial Advisory Group LLC | 12 Nevsky Prospekt, Saint Petersburg, 191011, Russian Federation</w:t>
      </w:r>
    </w:p>
    <w:p>
      <w:pPr>
        <w:pStyle w:val="BodyText"/>
      </w:pPr>
      <w:r>
        <w:t xml:space="preserve">This document is generated electronically and is valid without a physical seal. For inquiries regarding this Quotation Estimate, please contact our Accountant services team at accounting@spb-afag.ru.</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Russia Saint Petersburg</dc:title>
  <dc:creator/>
  <dc:language>en</dc:language>
  <cp:keywords/>
  <dcterms:created xsi:type="dcterms:W3CDTF">2026-10-10T07:08:23Z</dcterms:created>
  <dcterms:modified xsi:type="dcterms:W3CDTF">2026-10-10T07:08:23Z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