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Al-Nakheel Professional Accounting &amp; Financial Services Co.</w:t>
      </w:r>
    </w:p>
    <w:p>
      <w:pPr>
        <w:pStyle w:val="BodyText"/>
      </w:pPr>
      <w:r>
        <w:t xml:space="preserve">Office 412, Kingdom Tower, Al Shati District, Jeddah 23412, Saudi Arabia</w:t>
      </w:r>
    </w:p>
    <w:p>
      <w:pPr>
        <w:pStyle w:val="BodyText"/>
      </w:pPr>
      <w:r>
        <w:t xml:space="preserve">CR No. 1010456789 | VAT No. 310123456700003 | Phone: +966 12 654 3210 | Email: info@alnakheel-acc.sa</w:t>
      </w:r>
    </w:p>
    <w:bookmarkEnd w:id="20"/>
    <w:p>
      <w:pPr>
        <w:pStyle w:val="BodyText"/>
      </w:pPr>
      <w:r>
        <w:rPr>
          <w:bCs/>
          <w:b/>
        </w:rPr>
        <w:t xml:space="preserve">Quotation Estimate No.:</w:t>
      </w:r>
      <w:r>
        <w:t xml:space="preserve"> </w:t>
      </w:r>
      <w:r>
        <w:t xml:space="preserve">QE/2025/JED/0347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Al-Rashid Trading Est., Jeddah</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Al-Nakheel Professional Accounting &amp; Financial Services Co. to provide a comprehensive and transparent breakdown of professional</w:t>
      </w:r>
      <w:r>
        <w:t xml:space="preserve"> </w:t>
      </w:r>
      <w:r>
        <w:t xml:space="preserve">Accountant</w:t>
      </w:r>
      <w:r>
        <w:t xml:space="preserve"> </w:t>
      </w:r>
      <w:r>
        <w:t xml:space="preserve">services to be delivered to the client's business operations located in</w:t>
      </w:r>
      <w:r>
        <w:t xml:space="preserve"> </w:t>
      </w:r>
      <w:r>
        <w:t xml:space="preserve">Saudi Arabia Jeddah</w:t>
      </w:r>
      <w:r>
        <w:t xml:space="preserve">. This document serves as a binding financial proposal outlining the scope of work, deliverables, associated costs, and terms governing the engagement. The</w:t>
      </w:r>
      <w:r>
        <w:t xml:space="preserve"> </w:t>
      </w:r>
      <w:r>
        <w:t xml:space="preserve">Quotation Estimate</w:t>
      </w:r>
      <w:r>
        <w:t xml:space="preserve"> </w:t>
      </w:r>
      <w:r>
        <w:t xml:space="preserve">has been prepared in full compliance with the regulations set forth by the Saudi Arabian Monetary Authority (SAMA), the Zakat, Tax and Customs Authority (ZATCA), and the Ministry of Commerce of the Kingdom of Saudi Arabia.</w:t>
      </w:r>
    </w:p>
    <w:p>
      <w:pPr>
        <w:pStyle w:val="BodyText"/>
      </w:pPr>
      <w:r>
        <w:t xml:space="preserve">Our firm specializes in providing dedicated</w:t>
      </w:r>
      <w:r>
        <w:t xml:space="preserve"> </w:t>
      </w:r>
      <w:r>
        <w:t xml:space="preserve">Accountant</w:t>
      </w:r>
      <w:r>
        <w:t xml:space="preserve"> </w:t>
      </w:r>
      <w:r>
        <w:t xml:space="preserve">services tailored to the unique regulatory and commercial environment of</w:t>
      </w:r>
      <w:r>
        <w:t xml:space="preserve"> </w:t>
      </w:r>
      <w:r>
        <w:t xml:space="preserve">Saudi Arabia Jeddah</w:t>
      </w:r>
      <w:r>
        <w:t xml:space="preserve">. Whether your business operates in the port logistics sector, retail trade, manufacturing, or the growing digital economy of Jeddah, our</w:t>
      </w:r>
      <w:r>
        <w:t xml:space="preserve"> </w:t>
      </w:r>
      <w:r>
        <w:t xml:space="preserve">Accountant</w:t>
      </w:r>
      <w:r>
        <w:t xml:space="preserve"> </w:t>
      </w:r>
      <w:r>
        <w:t xml:space="preserve">professionals are equipped to ensure full statutory compliance, accurate financial reporting, and strategic fiscal planning.</w:t>
      </w:r>
    </w:p>
    <w:bookmarkEnd w:id="21"/>
    <w:bookmarkStart w:id="22" w:name="scope-of-accountant-services"/>
    <w:p>
      <w:pPr>
        <w:pStyle w:val="Heading2"/>
      </w:pPr>
      <w:r>
        <w:t xml:space="preserve">2. Scope of Accountant Services</w:t>
      </w:r>
    </w:p>
    <w:p>
      <w:pPr>
        <w:pStyle w:val="FirstParagraph"/>
      </w:pPr>
      <w:r>
        <w:t xml:space="preserve">The following</w:t>
      </w:r>
      <w:r>
        <w:t xml:space="preserve"> </w:t>
      </w:r>
      <w:r>
        <w:t xml:space="preserve">Accountant</w:t>
      </w:r>
      <w:r>
        <w:t xml:space="preserve"> </w:t>
      </w:r>
      <w:r>
        <w:t xml:space="preserve">services are included within this</w:t>
      </w:r>
      <w:r>
        <w:t xml:space="preserve"> </w:t>
      </w:r>
      <w:r>
        <w:t xml:space="preserve">Quotation Estimate</w:t>
      </w:r>
      <w:r>
        <w:t xml:space="preserve"> </w:t>
      </w:r>
      <w:r>
        <w:t xml:space="preserve">for the client's operations in</w:t>
      </w:r>
      <w:r>
        <w:t xml:space="preserve"> </w:t>
      </w:r>
      <w:r>
        <w:t xml:space="preserve">Saudi Arabia Jeddah</w:t>
      </w:r>
      <w:r>
        <w:t xml:space="preserve">:</w:t>
      </w:r>
    </w:p>
    <w:p>
      <w:pPr>
        <w:numPr>
          <w:ilvl w:val="0"/>
          <w:numId w:val="1001"/>
        </w:numPr>
        <w:pStyle w:val="Compact"/>
      </w:pPr>
      <w:r>
        <w:t xml:space="preserve">Monthly bookkeeping and general ledger maintenance in accordance with IFRS and Saudi GAAP standards.</w:t>
      </w:r>
    </w:p>
    <w:p>
      <w:pPr>
        <w:numPr>
          <w:ilvl w:val="0"/>
          <w:numId w:val="1001"/>
        </w:numPr>
        <w:pStyle w:val="Compact"/>
      </w:pPr>
      <w:r>
        <w:t xml:space="preserve">Preparation and filing of monthly and quarterly VAT returns with ZATCA on behalf of the client.</w:t>
      </w:r>
    </w:p>
    <w:p>
      <w:pPr>
        <w:numPr>
          <w:ilvl w:val="0"/>
          <w:numId w:val="1001"/>
        </w:numPr>
        <w:pStyle w:val="Compact"/>
      </w:pPr>
      <w:r>
        <w:t xml:space="preserve">Annual Zakat calculation and submission to the relevant Saudi Arabian authorities.</w:t>
      </w:r>
    </w:p>
    <w:p>
      <w:pPr>
        <w:numPr>
          <w:ilvl w:val="0"/>
          <w:numId w:val="1001"/>
        </w:numPr>
        <w:pStyle w:val="Compact"/>
      </w:pPr>
      <w:r>
        <w:t xml:space="preserve">Payroll processing for up to 50 employees, including GOSI contributions and WPS (Wage Protection System) compliance.</w:t>
      </w:r>
    </w:p>
    <w:p>
      <w:pPr>
        <w:numPr>
          <w:ilvl w:val="0"/>
          <w:numId w:val="1001"/>
        </w:numPr>
        <w:pStyle w:val="Compact"/>
      </w:pPr>
      <w:r>
        <w:t xml:space="preserve">Preparation of annual financial statements (Balance Sheet, Income Statement, Cash Flow Statement) for audit purposes.</w:t>
      </w:r>
    </w:p>
    <w:p>
      <w:pPr>
        <w:numPr>
          <w:ilvl w:val="0"/>
          <w:numId w:val="1001"/>
        </w:numPr>
        <w:pStyle w:val="Compact"/>
      </w:pPr>
      <w:r>
        <w:t xml:space="preserve">Reconciliation of bank accounts, supplier ledgers, and customer receivables on a monthly basis.</w:t>
      </w:r>
    </w:p>
    <w:p>
      <w:pPr>
        <w:numPr>
          <w:ilvl w:val="0"/>
          <w:numId w:val="1001"/>
        </w:numPr>
        <w:pStyle w:val="Compact"/>
      </w:pPr>
      <w:r>
        <w:t xml:space="preserve">Advisory services on tax optimization, transfer pricing, and regulatory compliance specific to</w:t>
      </w:r>
      <w:r>
        <w:t xml:space="preserve"> </w:t>
      </w:r>
      <w:r>
        <w:t xml:space="preserve">Saudi Arabia Jeddah</w:t>
      </w:r>
      <w:r>
        <w:t xml:space="preserve"> </w:t>
      </w:r>
      <w:r>
        <w:t xml:space="preserve">commercial zones.</w:t>
      </w:r>
    </w:p>
    <w:p>
      <w:pPr>
        <w:numPr>
          <w:ilvl w:val="0"/>
          <w:numId w:val="1001"/>
        </w:numPr>
        <w:pStyle w:val="Compact"/>
      </w:pPr>
      <w:r>
        <w:t xml:space="preserve">Assistance with annual license renewal documentation and financial requirements for the Ministry of Commerce.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(SAR)</w:t>
            </w:r>
          </w:p>
        </w:tc>
        <w:tc>
          <w:tcPr/>
          <w:p>
            <w:pPr>
              <w:pStyle w:val="Compact"/>
              <w:jc w:val="left"/>
            </w:pPr>
            <w:r>
              <w:t xml:space="preserve">Annual Total (SAR)</w:t>
            </w:r>
          </w:p>
        </w:tc>
      </w:tr>
      <w:tr>
        <w:tc>
          <w:tcPr/>
          <w:p>
            <w:pPr>
              <w:pStyle w:val="Compact"/>
              <w:jc w:val="left"/>
            </w:pPr>
            <w:r>
              <w:t xml:space="preserve">1</w:t>
            </w:r>
          </w:p>
        </w:tc>
        <w:tc>
          <w:tcPr/>
          <w:p>
            <w:pPr>
              <w:pStyle w:val="Compact"/>
              <w:jc w:val="left"/>
            </w:pPr>
            <w:r>
              <w:t xml:space="preserve">Monthly Bookkeeping &amp; General Ledger Maintenance</w:t>
            </w:r>
          </w:p>
        </w:tc>
        <w:tc>
          <w:tcPr/>
          <w:p>
            <w:pPr>
              <w:pStyle w:val="Compact"/>
              <w:jc w:val="left"/>
            </w:pPr>
            <w:r>
              <w:t xml:space="preserve">Monthly</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2</w:t>
            </w:r>
          </w:p>
        </w:tc>
        <w:tc>
          <w:tcPr/>
          <w:p>
            <w:pPr>
              <w:pStyle w:val="Compact"/>
              <w:jc w:val="left"/>
            </w:pPr>
            <w:r>
              <w:t xml:space="preserve">VAT Return Preparation &amp; Filing (ZATCA)</w:t>
            </w:r>
          </w:p>
        </w:tc>
        <w:tc>
          <w:tcPr/>
          <w:p>
            <w:pPr>
              <w:pStyle w:val="Compact"/>
              <w:jc w:val="left"/>
            </w:pPr>
            <w:r>
              <w:t xml:space="preserve">Quarterly</w:t>
            </w:r>
          </w:p>
        </w:tc>
        <w:tc>
          <w:tcPr/>
          <w:p>
            <w:pPr>
              <w:pStyle w:val="Compact"/>
              <w:jc w:val="left"/>
            </w:pPr>
            <w:r>
              <w:t xml:space="preserve">2,000</w:t>
            </w:r>
          </w:p>
        </w:tc>
        <w:tc>
          <w:tcPr/>
          <w:p>
            <w:pPr>
              <w:pStyle w:val="Compact"/>
              <w:jc w:val="left"/>
            </w:pPr>
            <w:r>
              <w:t xml:space="preserve">8,000</w:t>
            </w:r>
          </w:p>
        </w:tc>
      </w:tr>
      <w:tr>
        <w:tc>
          <w:tcPr/>
          <w:p>
            <w:pPr>
              <w:pStyle w:val="Compact"/>
              <w:jc w:val="left"/>
            </w:pPr>
            <w:r>
              <w:t xml:space="preserve">3</w:t>
            </w:r>
          </w:p>
        </w:tc>
        <w:tc>
          <w:tcPr/>
          <w:p>
            <w:pPr>
              <w:pStyle w:val="Compact"/>
              <w:jc w:val="left"/>
            </w:pPr>
            <w:r>
              <w:t xml:space="preserve">Annual Zakat Calculation &amp; Submission</w:t>
            </w:r>
          </w:p>
        </w:tc>
        <w:tc>
          <w:tcPr/>
          <w:p>
            <w:pPr>
              <w:pStyle w:val="Compact"/>
              <w:jc w:val="left"/>
            </w:pPr>
            <w:r>
              <w:t xml:space="preserve">Annual</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4</w:t>
            </w:r>
          </w:p>
        </w:tc>
        <w:tc>
          <w:tcPr/>
          <w:p>
            <w:pPr>
              <w:pStyle w:val="Compact"/>
              <w:jc w:val="left"/>
            </w:pPr>
            <w:r>
              <w:t xml:space="preserve">Payroll Processing &amp; GOSI/WPS Compliance (up to 50 staff)</w:t>
            </w:r>
          </w:p>
        </w:tc>
        <w:tc>
          <w:tcPr/>
          <w:p>
            <w:pPr>
              <w:pStyle w:val="Compact"/>
              <w:jc w:val="left"/>
            </w:pPr>
            <w:r>
              <w:t xml:space="preserve">Monthly</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5</w:t>
            </w:r>
          </w:p>
        </w:tc>
        <w:tc>
          <w:tcPr/>
          <w:p>
            <w:pPr>
              <w:pStyle w:val="Compact"/>
              <w:jc w:val="left"/>
            </w:pPr>
            <w:r>
              <w:t xml:space="preserve">Annual Financial Statements Preparation (IFRS/GAAP)</w:t>
            </w:r>
          </w:p>
        </w:tc>
        <w:tc>
          <w:tcPr/>
          <w:p>
            <w:pPr>
              <w:pStyle w:val="Compact"/>
              <w:jc w:val="left"/>
            </w:pPr>
            <w:r>
              <w:t xml:space="preserve">Annual</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Bank &amp; Ledger Reconciliation</w:t>
            </w:r>
          </w:p>
        </w:tc>
        <w:tc>
          <w:tcPr/>
          <w:p>
            <w:pPr>
              <w:pStyle w:val="Compact"/>
              <w:jc w:val="left"/>
            </w:pPr>
            <w:r>
              <w:t xml:space="preserve">Monthly</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Regulatory &amp; Tax Advisory (4 hours/month)</w:t>
            </w:r>
          </w:p>
        </w:tc>
        <w:tc>
          <w:tcPr/>
          <w:p>
            <w:pPr>
              <w:pStyle w:val="Compact"/>
              <w:jc w:val="left"/>
            </w:pPr>
            <w:r>
              <w:t xml:space="preserve">Monthly</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Annual License Renewal Support &amp; Documentation</w:t>
            </w:r>
          </w:p>
        </w:tc>
        <w:tc>
          <w:tcPr/>
          <w:p>
            <w:pPr>
              <w:pStyle w:val="Compact"/>
              <w:jc w:val="left"/>
            </w:pPr>
            <w:r>
              <w:t xml:space="preserve">Annual</w:t>
            </w:r>
          </w:p>
        </w:tc>
        <w:tc>
          <w:tcPr/>
          <w:p>
            <w:pPr>
              <w:pStyle w:val="Compact"/>
              <w:jc w:val="left"/>
            </w:pPr>
            <w:r>
              <w:t xml:space="preserve">3,000</w:t>
            </w:r>
          </w:p>
        </w:tc>
        <w:tc>
          <w:tcPr/>
          <w:p>
            <w:pPr>
              <w:pStyle w:val="Compact"/>
              <w:jc w:val="left"/>
            </w:pPr>
            <w:r>
              <w:t xml:space="preserve">3,000</w:t>
            </w:r>
          </w:p>
        </w:tc>
      </w:tr>
      <w:tr>
        <w:tc>
          <w:tcPr>
            <w:gridSpan w:val="4"/>
          </w:tcPr>
          <w:p>
            <w:pPr>
              <w:pStyle w:val="Compact"/>
              <w:jc w:val="right"/>
            </w:pPr>
            <w:r>
              <w:t xml:space="preserve">Subtotal (SAR)</w:t>
            </w:r>
          </w:p>
        </w:tc>
        <w:tc>
          <w:tcPr/>
          <w:p>
            <w:pPr>
              <w:pStyle w:val="Compact"/>
              <w:jc w:val="left"/>
            </w:pPr>
            <w:r>
              <w:t xml:space="preserve">172,000</w:t>
            </w:r>
          </w:p>
        </w:tc>
      </w:tr>
      <w:tr>
        <w:tc>
          <w:tcPr>
            <w:gridSpan w:val="4"/>
          </w:tcPr>
          <w:p>
            <w:pPr>
              <w:pStyle w:val="Compact"/>
              <w:jc w:val="right"/>
            </w:pPr>
            <w:r>
              <w:t xml:space="preserve">VAT @ 15%</w:t>
            </w:r>
          </w:p>
        </w:tc>
        <w:tc>
          <w:tcPr/>
          <w:p>
            <w:pPr>
              <w:pStyle w:val="Compact"/>
              <w:jc w:val="left"/>
            </w:pPr>
            <w:r>
              <w:t xml:space="preserve">25,800</w:t>
            </w:r>
          </w:p>
        </w:tc>
      </w:tr>
      <w:tr>
        <w:tc>
          <w:tcPr>
            <w:gridSpan w:val="4"/>
          </w:tcPr>
          <w:p>
            <w:pPr>
              <w:pStyle w:val="Compact"/>
              <w:jc w:val="right"/>
            </w:pPr>
            <w:r>
              <w:t xml:space="preserve">Grand Total (SAR)</w:t>
            </w:r>
          </w:p>
        </w:tc>
        <w:tc>
          <w:tcPr/>
          <w:p>
            <w:pPr>
              <w:pStyle w:val="Compact"/>
              <w:jc w:val="left"/>
            </w:pPr>
            <w:r>
              <w:t xml:space="preserve">197,800</w:t>
            </w:r>
          </w:p>
        </w:tc>
      </w:tr>
    </w:tbl>
    <w:p>
      <w:pPr>
        <w:pStyle w:val="BodyText"/>
      </w:pPr>
      <w:r>
        <w:rPr>
          <w:bCs/>
          <w:b/>
        </w:rPr>
        <w:t xml:space="preserve">Note:</w:t>
      </w:r>
      <w:r>
        <w:t xml:space="preserve"> </w:t>
      </w:r>
      <w:r>
        <w:t xml:space="preserve">All prices in this</w:t>
      </w:r>
      <w:r>
        <w:t xml:space="preserve"> </w:t>
      </w:r>
      <w:r>
        <w:t xml:space="preserve">Quotation Estimate</w:t>
      </w:r>
      <w:r>
        <w:t xml:space="preserve"> </w:t>
      </w:r>
      <w:r>
        <w:t xml:space="preserve">are quoted in Saudi Riyals (SAR) and are inclusive of all standard</w:t>
      </w:r>
      <w:r>
        <w:t xml:space="preserve"> </w:t>
      </w:r>
      <w:r>
        <w:t xml:space="preserve">Accountant</w:t>
      </w:r>
      <w:r>
        <w:t xml:space="preserve"> </w:t>
      </w:r>
      <w:r>
        <w:t xml:space="preserve">professional fees. Any additional services beyond the scope defined herein, such as audit support, forensic accounting, or special regulatory filings, will be subject to a separate</w:t>
      </w:r>
      <w:r>
        <w:t xml:space="preserve"> </w:t>
      </w:r>
      <w:r>
        <w:t xml:space="preserve">Quotation Estimate</w:t>
      </w:r>
      <w:r>
        <w:t xml:space="preserve"> </w:t>
      </w:r>
      <w:r>
        <w:t xml:space="preserve">issued prior to commencement.</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expiry, pricing and availability of the designated</w:t>
      </w:r>
      <w:r>
        <w:t xml:space="preserve"> </w:t>
      </w:r>
      <w:r>
        <w:t xml:space="preserve">Accountant</w:t>
      </w:r>
      <w:r>
        <w:t xml:space="preserve"> </w:t>
      </w:r>
      <w:r>
        <w:t xml:space="preserve">professional may be subject to revision.</w:t>
      </w:r>
    </w:p>
    <w:p>
      <w:pPr>
        <w:numPr>
          <w:ilvl w:val="0"/>
          <w:numId w:val="1002"/>
        </w:numPr>
        <w:pStyle w:val="Compact"/>
      </w:pPr>
      <w:r>
        <w:t xml:space="preserve">Payment terms: 50% advance payment upon acceptance of this</w:t>
      </w:r>
      <w:r>
        <w:t xml:space="preserve"> </w:t>
      </w:r>
      <w:r>
        <w:t xml:space="preserve">Quotation Estimate</w:t>
      </w:r>
      <w:r>
        <w:t xml:space="preserve">, with the remaining 50% payable in equal monthly installments over the contract period. All payments shall be made via bank transfer to our designated account in</w:t>
      </w:r>
      <w:r>
        <w:t xml:space="preserve"> </w:t>
      </w:r>
      <w:r>
        <w:t xml:space="preserve">Saudi Arabia Jeddah</w:t>
      </w:r>
      <w:r>
        <w:t xml:space="preserve">.</w:t>
      </w:r>
    </w:p>
    <w:p>
      <w:pPr>
        <w:numPr>
          <w:ilvl w:val="0"/>
          <w:numId w:val="1002"/>
        </w:numPr>
        <w:pStyle w:val="Compact"/>
      </w:pPr>
      <w:r>
        <w:t xml:space="preserve">The engagement period covered by this</w:t>
      </w:r>
      <w:r>
        <w:t xml:space="preserve"> </w:t>
      </w:r>
      <w:r>
        <w:t xml:space="preserve">Quotation Estimate</w:t>
      </w:r>
      <w:r>
        <w:t xml:space="preserve"> </w:t>
      </w:r>
      <w:r>
        <w:t xml:space="preserve">is twelve (12) months from the date of contract execution, renewable upon mutual written agreement.</w:t>
      </w:r>
    </w:p>
    <w:p>
      <w:pPr>
        <w:numPr>
          <w:ilvl w:val="0"/>
          <w:numId w:val="1002"/>
        </w:numPr>
        <w:pStyle w:val="Compact"/>
      </w:pPr>
      <w:r>
        <w:t xml:space="preserve">Our</w:t>
      </w:r>
      <w:r>
        <w:t xml:space="preserve"> </w:t>
      </w:r>
      <w:r>
        <w:t xml:space="preserve">Accountant</w:t>
      </w:r>
      <w:r>
        <w:t xml:space="preserve"> </w:t>
      </w:r>
      <w:r>
        <w:t xml:space="preserve">team shall maintain strict confidentiality over all financial data, trade secrets, and proprietary information of the client in accordance with Saudi data protection regulations.</w:t>
      </w:r>
    </w:p>
    <w:p>
      <w:pPr>
        <w:numPr>
          <w:ilvl w:val="0"/>
          <w:numId w:val="1002"/>
        </w:numPr>
        <w:pStyle w:val="Compact"/>
      </w:pPr>
      <w:r>
        <w:t xml:space="preserve">The client agrees to provide timely access to all financial records, bank statements, invoices, and supporting documentation required for the</w:t>
      </w:r>
      <w:r>
        <w:t xml:space="preserve"> </w:t>
      </w:r>
      <w:r>
        <w:t xml:space="preserve">Accountant</w:t>
      </w:r>
      <w:r>
        <w:t xml:space="preserve"> </w:t>
      </w:r>
      <w:r>
        <w:t xml:space="preserve">to perform the services outlined in this</w:t>
      </w:r>
      <w:r>
        <w:t xml:space="preserve"> </w:t>
      </w:r>
      <w:r>
        <w:t xml:space="preserve">Quotation Estimate</w:t>
      </w:r>
      <w:r>
        <w:t xml:space="preserve">.</w:t>
      </w:r>
    </w:p>
    <w:p>
      <w:pPr>
        <w:numPr>
          <w:ilvl w:val="0"/>
          <w:numId w:val="1002"/>
        </w:numPr>
        <w:pStyle w:val="Compact"/>
      </w:pPr>
      <w:r>
        <w:t xml:space="preserve">Any penalties, fines, or interest levied by ZATCA or other Saudi Arabian authorities due to the client's failure to provide accurate or timely information shall be the sole responsibility of the client.</w:t>
      </w:r>
    </w:p>
    <w:p>
      <w:pPr>
        <w:numPr>
          <w:ilvl w:val="0"/>
          <w:numId w:val="1002"/>
        </w:numPr>
        <w:pStyle w:val="Compact"/>
      </w:pPr>
      <w:r>
        <w:t xml:space="preserve">This</w:t>
      </w:r>
      <w:r>
        <w:t xml:space="preserve"> </w:t>
      </w:r>
      <w:r>
        <w:t xml:space="preserve">Quotation Estimate</w:t>
      </w:r>
      <w:r>
        <w:t xml:space="preserve"> </w:t>
      </w:r>
      <w:r>
        <w:t xml:space="preserve">does not constitute a guarantee of audit outcomes. The</w:t>
      </w:r>
      <w:r>
        <w:t xml:space="preserve"> </w:t>
      </w:r>
      <w:r>
        <w:t xml:space="preserve">Accountant</w:t>
      </w:r>
      <w:r>
        <w:t xml:space="preserve"> </w:t>
      </w:r>
      <w:r>
        <w:t xml:space="preserve">services are advisory and compliance-oriented in nature.</w:t>
      </w:r>
    </w:p>
    <w:p>
      <w:pPr>
        <w:numPr>
          <w:ilvl w:val="0"/>
          <w:numId w:val="1002"/>
        </w:numPr>
        <w:pStyle w:val="Compact"/>
      </w:pPr>
      <w:r>
        <w:t xml:space="preserve">Governing law: This agreement shall be governed by and construed in accordance with the laws of the Kingdom of Saudi Arabia. Any disputes shall be resolved through the competent courts in</w:t>
      </w:r>
      <w:r>
        <w:t xml:space="preserve"> </w:t>
      </w:r>
      <w:r>
        <w:t xml:space="preserve">Saudi Arabia Jeddah</w:t>
      </w:r>
      <w:r>
        <w:t xml:space="preserve">.</w:t>
      </w:r>
    </w:p>
    <w:bookmarkEnd w:id="24"/>
    <w:bookmarkStart w:id="27" w:name="acceptance-and-authorization"/>
    <w:p>
      <w:pPr>
        <w:pStyle w:val="Heading2"/>
      </w:pPr>
      <w:r>
        <w:t xml:space="preserve">5. Acceptance and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w:t>
      </w:r>
      <w:r>
        <w:t xml:space="preserve"> </w:t>
      </w:r>
      <w:r>
        <w:t xml:space="preserve">Accountant</w:t>
      </w:r>
      <w:r>
        <w:t xml:space="preserve"> </w:t>
      </w:r>
      <w:r>
        <w:t xml:space="preserve">services to be rendered in</w:t>
      </w:r>
      <w:r>
        <w:t xml:space="preserve"> </w:t>
      </w:r>
      <w:r>
        <w:t xml:space="preserve">Saudi Arabia Jeddah</w:t>
      </w:r>
      <w:r>
        <w:t xml:space="preserve">. This document, once countersigned, shall serve as the formal engagement letter between the parties.</w:t>
      </w:r>
    </w:p>
    <w:bookmarkStart w:id="25" w:name="X344090e6c21b1c3ec28a706ef46785e07db2158"/>
    <w:p>
      <w:pPr>
        <w:pStyle w:val="Heading3"/>
      </w:pPr>
      <w:r>
        <w:t xml:space="preserve">For Al-Nakheel Professional Accounting &amp; Financial Services Co.</w:t>
      </w:r>
    </w:p>
    <w:p>
      <w:pPr>
        <w:pStyle w:val="FirstParagraph"/>
      </w:pPr>
      <w:r>
        <w:t xml:space="preserve">Name: ___________________________</w:t>
      </w:r>
    </w:p>
    <w:p>
      <w:pPr>
        <w:pStyle w:val="BodyText"/>
      </w:pPr>
      <w:r>
        <w:t xml:space="preserve">Title: Managing Partner / Lead Accountant</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bookmarkEnd w:id="25"/>
    <w:bookmarkStart w:id="26" w:name="for-al-rashid-trading-est.-client"/>
    <w:p>
      <w:pPr>
        <w:pStyle w:val="Heading3"/>
      </w:pPr>
      <w:r>
        <w:t xml:space="preserve">For Al-Rashid Trading Est. (Client)</w:t>
      </w:r>
    </w:p>
    <w:p>
      <w:pPr>
        <w:pStyle w:val="FirstParagraph"/>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bookmarkEnd w:id="26"/>
    <w:p>
      <w:pPr>
        <w:pStyle w:val="BodyText"/>
      </w:pPr>
      <w:r>
        <w:rPr>
          <w:bCs/>
          <w:b/>
        </w:rPr>
        <w:t xml:space="preserve">Al-Nakheel Professional Accounting &amp; Financial Services Co.</w:t>
      </w:r>
      <w:r>
        <w:t xml:space="preserve"> </w:t>
      </w:r>
      <w:r>
        <w:t xml:space="preserve">| Jeddah, Saudi Arabia</w:t>
      </w:r>
    </w:p>
    <w:p>
      <w:pPr>
        <w:pStyle w:val="BodyText"/>
      </w:pPr>
      <w:r>
        <w:t xml:space="preserve">This Quotation Estimate document is generated electronically and is valid without a physical stamp. Document Ref: QE/2025/JED/0347</w:t>
      </w:r>
    </w:p>
    <w:p>
      <w:pPr>
        <w:pStyle w:val="BodyText"/>
      </w:pPr>
      <w:r>
        <w:t xml:space="preserve">© 2025 Al-Nakheel Professional Accounting &amp; Financial Services Co.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Saudi Arabia Jeddah</dc:title>
  <dc:creator/>
  <dc:language>en</dc:language>
  <cp:keywords/>
  <dcterms:created xsi:type="dcterms:W3CDTF">2026-10-10T09:14:02Z</dcterms:created>
  <dcterms:modified xsi:type="dcterms:W3CDTF">2026-10-10T09:14:02Z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