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Saudi Arabia — Riyadh</w:t>
      </w:r>
    </w:p>
    <w:p>
      <w:pPr>
        <w:pStyle w:val="BodyText"/>
      </w:pPr>
      <w:r>
        <w:t xml:space="preserve">Document Ref: QTE-2025-RYD-0472</w:t>
      </w:r>
    </w:p>
    <w:bookmarkEnd w:id="20"/>
    <w:p>
      <w:pPr>
        <w:pStyle w:val="BodyText"/>
      </w:pPr>
      <w:r>
        <w:rPr>
          <w:bCs/>
          <w:b/>
        </w:rPr>
        <w:t xml:space="preserve">Prepared By:</w:t>
      </w:r>
      <w:r>
        <w:br/>
      </w:r>
      <w:r>
        <w:t xml:space="preserve">Al-Riyadh Financial Solutions LLC</w:t>
      </w:r>
      <w:r>
        <w:br/>
      </w:r>
      <w:r>
        <w:t xml:space="preserve">King Fahd Road, Al Olaya District</w:t>
      </w:r>
      <w:r>
        <w:br/>
      </w:r>
      <w:r>
        <w:t xml:space="preserve">Riyadh, Saudi Arabia</w:t>
      </w:r>
      <w:r>
        <w:br/>
      </w:r>
      <w:r>
        <w:t xml:space="preserve">Tel: +966 11 456 7890</w:t>
      </w:r>
      <w:r>
        <w:br/>
      </w:r>
      <w:r>
        <w:t xml:space="preserve">Email: quotes@alriyadhfin.com.sa</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Client:</w:t>
      </w:r>
      <w:r>
        <w:t xml:space="preserve"> </w:t>
      </w:r>
      <w:r>
        <w:t xml:space="preserve">[Client Company Name]</w:t>
      </w:r>
      <w:r>
        <w:br/>
      </w:r>
      <w:r>
        <w:rPr>
          <w:bCs/>
          <w:b/>
        </w:rPr>
        <w:t xml:space="preserve">Client Address:</w:t>
      </w:r>
      <w:r>
        <w:t xml:space="preserve"> </w:t>
      </w:r>
      <w:r>
        <w:t xml:space="preserve">Riyadh, Saudi Arabia</w:t>
      </w:r>
      <w:r>
        <w:br/>
      </w:r>
      <w:r>
        <w:rPr>
          <w:bCs/>
          <w:b/>
        </w:rPr>
        <w:t xml:space="preserve">CR Number:</w:t>
      </w:r>
      <w:r>
        <w:t xml:space="preserve"> </w:t>
      </w:r>
      <w:r>
        <w:t xml:space="preserve">[To be confirmed]</w:t>
      </w:r>
    </w:p>
    <w:bookmarkStart w:id="21" w:name="purpose-of-this-quotation-estimate"/>
    <w:p>
      <w:pPr>
        <w:pStyle w:val="Heading2"/>
      </w:pPr>
      <w:r>
        <w:t xml:space="preserve">1. Purpose of This Quotation Estimate</w:t>
      </w:r>
    </w:p>
    <w:p>
      <w:pPr>
        <w:pStyle w:val="FirstParagraph"/>
      </w:pPr>
      <w:r>
        <w:t xml:space="preserve">This Quotation Estimate is issued by Al-Riyadh Financial Solutions LLC to provide a comprehensive and transparent breakdown of costs associated with engaging a qualified Accountant for ongoing financial management, statutory compliance, and advisory services. This document is specifically tailored for operations within Saudi Arabia, Riyadh, and is designed to align with the regulatory framework established by the Zakat, Tax and Customs Authority (ZATCA), the Ministry of Commerce, and the Saudi Central Bank (SAMA). The Accountant services outlined herein are structured to meet the unique fiscal, tax, and accounting requirements applicable to businesses operating in the Kingdom of Saudi Arabia, with a primary focus on the Riyadh metropolitan area.</w:t>
      </w:r>
    </w:p>
    <w:bookmarkEnd w:id="21"/>
    <w:bookmarkStart w:id="22" w:name="scope-of-accountant-services"/>
    <w:p>
      <w:pPr>
        <w:pStyle w:val="Heading2"/>
      </w:pPr>
      <w:r>
        <w:t xml:space="preserve">2. Scope of Accountant Services</w:t>
      </w:r>
    </w:p>
    <w:p>
      <w:pPr>
        <w:pStyle w:val="FirstParagraph"/>
      </w:pPr>
      <w:r>
        <w:t xml:space="preserve">The following Quotation Estimate covers the full spectrum of Accountant services that will be delivered to the client. All services are performed by a certified Accountant holding a valid Saudi Professional License and are conducted in full compliance with the Saudi Accounting Standards (SAS) and International Financial Reporting Standards (IFRS) as adopted in Saudi Arabia.</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 Hours</w:t>
            </w:r>
          </w:p>
        </w:tc>
        <w:tc>
          <w:tcPr/>
          <w:p>
            <w:pPr>
              <w:pStyle w:val="Compact"/>
              <w:jc w:val="left"/>
            </w:pPr>
            <w:r>
              <w:t xml:space="preserve">Fee (SAR)</w:t>
            </w:r>
          </w:p>
        </w:tc>
      </w:tr>
      <w:tr>
        <w:tc>
          <w:tcPr/>
          <w:p>
            <w:pPr>
              <w:pStyle w:val="Compact"/>
              <w:jc w:val="left"/>
            </w:pPr>
            <w:r>
              <w:t xml:space="preserve">1</w:t>
            </w:r>
          </w:p>
        </w:tc>
        <w:tc>
          <w:tcPr/>
          <w:p>
            <w:pPr>
              <w:pStyle w:val="Compact"/>
              <w:jc w:val="left"/>
            </w:pPr>
            <w:r>
              <w:t xml:space="preserve">Monthly bookkeeping and general ledger maintenance by the assigned Accountant</w:t>
            </w:r>
          </w:p>
        </w:tc>
        <w:tc>
          <w:tcPr/>
          <w:p>
            <w:pPr>
              <w:pStyle w:val="Compact"/>
              <w:jc w:val="left"/>
            </w:pPr>
            <w:r>
              <w:t xml:space="preserve">Monthly</w:t>
            </w:r>
          </w:p>
        </w:tc>
        <w:tc>
          <w:tcPr/>
          <w:p>
            <w:pPr>
              <w:pStyle w:val="Compact"/>
              <w:jc w:val="left"/>
            </w:pPr>
            <w:r>
              <w:t xml:space="preserve">40 hours</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Preparation and filing of monthly VAT returns with ZATCA (Riyadh jurisdiction)</w:t>
            </w:r>
          </w:p>
        </w:tc>
        <w:tc>
          <w:tcPr/>
          <w:p>
            <w:pPr>
              <w:pStyle w:val="Compact"/>
              <w:jc w:val="left"/>
            </w:pPr>
            <w:r>
              <w:t xml:space="preserve">Monthly</w:t>
            </w:r>
          </w:p>
        </w:tc>
        <w:tc>
          <w:tcPr/>
          <w:p>
            <w:pPr>
              <w:pStyle w:val="Compact"/>
              <w:jc w:val="left"/>
            </w:pPr>
            <w:r>
              <w:t xml:space="preserve">12 hours</w:t>
            </w:r>
          </w:p>
        </w:tc>
        <w:tc>
          <w:tcPr/>
          <w:p>
            <w:pPr>
              <w:pStyle w:val="Compact"/>
              <w:jc w:val="left"/>
            </w:pPr>
            <w:r>
              <w:t xml:space="preserve">3,200</w:t>
            </w:r>
          </w:p>
        </w:tc>
      </w:tr>
      <w:tr>
        <w:tc>
          <w:tcPr/>
          <w:p>
            <w:pPr>
              <w:pStyle w:val="Compact"/>
              <w:jc w:val="left"/>
            </w:pPr>
            <w:r>
              <w:t xml:space="preserve">3</w:t>
            </w:r>
          </w:p>
        </w:tc>
        <w:tc>
          <w:tcPr/>
          <w:p>
            <w:pPr>
              <w:pStyle w:val="Compact"/>
              <w:jc w:val="left"/>
            </w:pPr>
            <w:r>
              <w:t xml:space="preserve">Quarterly financial statements preparation (P&amp;L, Balance Sheet, Cash Flow)</w:t>
            </w:r>
          </w:p>
        </w:tc>
        <w:tc>
          <w:tcPr/>
          <w:p>
            <w:pPr>
              <w:pStyle w:val="Compact"/>
              <w:jc w:val="left"/>
            </w:pPr>
            <w:r>
              <w:t xml:space="preserve">Quarterly</w:t>
            </w:r>
          </w:p>
        </w:tc>
        <w:tc>
          <w:tcPr/>
          <w:p>
            <w:pPr>
              <w:pStyle w:val="Compact"/>
              <w:jc w:val="left"/>
            </w:pPr>
            <w:r>
              <w:t xml:space="preserve">24 hours</w:t>
            </w:r>
          </w:p>
        </w:tc>
        <w:tc>
          <w:tcPr/>
          <w:p>
            <w:pPr>
              <w:pStyle w:val="Compact"/>
              <w:jc w:val="left"/>
            </w:pPr>
            <w:r>
              <w:t xml:space="preserve">6,800</w:t>
            </w:r>
          </w:p>
        </w:tc>
      </w:tr>
      <w:tr>
        <w:tc>
          <w:tcPr/>
          <w:p>
            <w:pPr>
              <w:pStyle w:val="Compact"/>
              <w:jc w:val="left"/>
            </w:pPr>
            <w:r>
              <w:t xml:space="preserve">4</w:t>
            </w:r>
          </w:p>
        </w:tc>
        <w:tc>
          <w:tcPr/>
          <w:p>
            <w:pPr>
              <w:pStyle w:val="Compact"/>
              <w:jc w:val="left"/>
            </w:pPr>
            <w:r>
              <w:t xml:space="preserve">Annual statutory audit support and coordination with external auditors</w:t>
            </w:r>
          </w:p>
        </w:tc>
        <w:tc>
          <w:tcPr/>
          <w:p>
            <w:pPr>
              <w:pStyle w:val="Compact"/>
              <w:jc w:val="left"/>
            </w:pPr>
            <w:r>
              <w:t xml:space="preserve">Annually</w:t>
            </w:r>
          </w:p>
        </w:tc>
        <w:tc>
          <w:tcPr/>
          <w:p>
            <w:pPr>
              <w:pStyle w:val="Compact"/>
              <w:jc w:val="left"/>
            </w:pPr>
            <w:r>
              <w:t xml:space="preserve">60 hours</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Zakat calculation, reconciliation, and annual filing with ZATCA</w:t>
            </w:r>
          </w:p>
        </w:tc>
        <w:tc>
          <w:tcPr/>
          <w:p>
            <w:pPr>
              <w:pStyle w:val="Compact"/>
              <w:jc w:val="left"/>
            </w:pPr>
            <w:r>
              <w:t xml:space="preserve">Annually</w:t>
            </w:r>
          </w:p>
        </w:tc>
        <w:tc>
          <w:tcPr/>
          <w:p>
            <w:pPr>
              <w:pStyle w:val="Compact"/>
              <w:jc w:val="left"/>
            </w:pPr>
            <w:r>
              <w:t xml:space="preserve">30 hours</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Payroll processing, WPS (Wage Protection System) compliance, and GOSI contributions</w:t>
            </w:r>
          </w:p>
        </w:tc>
        <w:tc>
          <w:tcPr/>
          <w:p>
            <w:pPr>
              <w:pStyle w:val="Compact"/>
              <w:jc w:val="left"/>
            </w:pPr>
            <w:r>
              <w:t xml:space="preserve">Monthly</w:t>
            </w:r>
          </w:p>
        </w:tc>
        <w:tc>
          <w:tcPr/>
          <w:p>
            <w:pPr>
              <w:pStyle w:val="Compact"/>
              <w:jc w:val="left"/>
            </w:pPr>
            <w:r>
              <w:t xml:space="preserve">20 hours</w:t>
            </w:r>
          </w:p>
        </w:tc>
        <w:tc>
          <w:tcPr/>
          <w:p>
            <w:pPr>
              <w:pStyle w:val="Compact"/>
              <w:jc w:val="left"/>
            </w:pPr>
            <w:r>
              <w:t xml:space="preserve">5,400</w:t>
            </w:r>
          </w:p>
        </w:tc>
      </w:tr>
      <w:tr>
        <w:tc>
          <w:tcPr/>
          <w:p>
            <w:pPr>
              <w:pStyle w:val="Compact"/>
              <w:jc w:val="left"/>
            </w:pPr>
            <w:r>
              <w:t xml:space="preserve">7</w:t>
            </w:r>
          </w:p>
        </w:tc>
        <w:tc>
          <w:tcPr/>
          <w:p>
            <w:pPr>
              <w:pStyle w:val="Compact"/>
              <w:jc w:val="left"/>
            </w:pPr>
            <w:r>
              <w:t xml:space="preserve">Tax advisory, transfer pricing documentation, and regulatory liaison in Riyadh</w:t>
            </w:r>
          </w:p>
        </w:tc>
        <w:tc>
          <w:tcPr/>
          <w:p>
            <w:pPr>
              <w:pStyle w:val="Compact"/>
              <w:jc w:val="left"/>
            </w:pPr>
            <w:r>
              <w:t xml:space="preserve">As needed</w:t>
            </w:r>
          </w:p>
        </w:tc>
        <w:tc>
          <w:tcPr/>
          <w:p>
            <w:pPr>
              <w:pStyle w:val="Compact"/>
              <w:jc w:val="left"/>
            </w:pPr>
            <w:r>
              <w:t xml:space="preserve">16 hours</w:t>
            </w:r>
          </w:p>
        </w:tc>
        <w:tc>
          <w:tcPr/>
          <w:p>
            <w:pPr>
              <w:pStyle w:val="Compact"/>
              <w:jc w:val="left"/>
            </w:pPr>
            <w:r>
              <w:t xml:space="preserve">7,200</w:t>
            </w:r>
          </w:p>
        </w:tc>
      </w:tr>
      <w:tr>
        <w:tc>
          <w:tcPr/>
          <w:p>
            <w:pPr>
              <w:pStyle w:val="Compact"/>
              <w:jc w:val="left"/>
            </w:pPr>
            <w:r>
              <w:t xml:space="preserve">8</w:t>
            </w:r>
          </w:p>
        </w:tc>
        <w:tc>
          <w:tcPr/>
          <w:p>
            <w:pPr>
              <w:pStyle w:val="Compact"/>
              <w:jc w:val="left"/>
            </w:pPr>
            <w:r>
              <w:t xml:space="preserve">Financial planning, budgeting, and management reporting for C-suite</w:t>
            </w:r>
          </w:p>
        </w:tc>
        <w:tc>
          <w:tcPr/>
          <w:p>
            <w:pPr>
              <w:pStyle w:val="Compact"/>
              <w:jc w:val="left"/>
            </w:pPr>
            <w:r>
              <w:t xml:space="preserve">Monthly</w:t>
            </w:r>
          </w:p>
        </w:tc>
        <w:tc>
          <w:tcPr/>
          <w:p>
            <w:pPr>
              <w:pStyle w:val="Compact"/>
              <w:jc w:val="left"/>
            </w:pPr>
            <w:r>
              <w:t xml:space="preserve">10 hours</w:t>
            </w:r>
          </w:p>
        </w:tc>
        <w:tc>
          <w:tcPr/>
          <w:p>
            <w:pPr>
              <w:pStyle w:val="Compact"/>
              <w:jc w:val="left"/>
            </w:pPr>
            <w:r>
              <w:t xml:space="preserve">4,600</w:t>
            </w:r>
          </w:p>
        </w:tc>
      </w:tr>
      <w:tr>
        <w:tc>
          <w:tcPr>
            <w:gridSpan w:val="4"/>
          </w:tcPr>
          <w:p>
            <w:pPr>
              <w:pStyle w:val="Compact"/>
              <w:jc w:val="left"/>
            </w:pPr>
            <w:r>
              <w:t xml:space="preserve">Subtotal (Annual)</w:t>
            </w:r>
          </w:p>
        </w:tc>
        <w:tc>
          <w:tcPr/>
          <w:p>
            <w:pPr>
              <w:pStyle w:val="Compact"/>
              <w:jc w:val="left"/>
            </w:pPr>
            <w:r>
              <w:t xml:space="preserve">147,000 SAR</w:t>
            </w:r>
          </w:p>
        </w:tc>
      </w:tr>
      <w:tr>
        <w:tc>
          <w:tcPr>
            <w:gridSpan w:val="4"/>
          </w:tcPr>
          <w:p>
            <w:pPr>
              <w:pStyle w:val="Compact"/>
              <w:jc w:val="left"/>
            </w:pPr>
            <w:r>
              <w:t xml:space="preserve">VAT (15%)</w:t>
            </w:r>
          </w:p>
        </w:tc>
        <w:tc>
          <w:tcPr/>
          <w:p>
            <w:pPr>
              <w:pStyle w:val="Compact"/>
              <w:jc w:val="left"/>
            </w:pPr>
            <w:r>
              <w:t xml:space="preserve">22,050 SAR</w:t>
            </w:r>
          </w:p>
        </w:tc>
      </w:tr>
      <w:tr>
        <w:tc>
          <w:tcPr>
            <w:gridSpan w:val="4"/>
          </w:tcPr>
          <w:p>
            <w:pPr>
              <w:pStyle w:val="Compact"/>
              <w:jc w:val="left"/>
            </w:pPr>
            <w:r>
              <w:t xml:space="preserve">Grand Total (Annual)</w:t>
            </w:r>
          </w:p>
        </w:tc>
        <w:tc>
          <w:tcPr/>
          <w:p>
            <w:pPr>
              <w:pStyle w:val="Compact"/>
              <w:jc w:val="left"/>
            </w:pPr>
            <w:r>
              <w:t xml:space="preserve">169,050 SAR</w:t>
            </w:r>
          </w:p>
        </w:tc>
      </w:tr>
    </w:tbl>
    <w:bookmarkEnd w:id="22"/>
    <w:bookmarkStart w:id="23" w:name="accountant-qualifications-and-compliance"/>
    <w:p>
      <w:pPr>
        <w:pStyle w:val="Heading2"/>
      </w:pPr>
      <w:r>
        <w:t xml:space="preserve">3. Accountant Qualifications and Compliance</w:t>
      </w:r>
    </w:p>
    <w:p>
      <w:pPr>
        <w:pStyle w:val="FirstParagraph"/>
      </w:pPr>
      <w:r>
        <w:t xml:space="preserve">The Accountant assigned to this engagement will hold a minimum of a Bachelor's degree in Accounting or Finance from an accredited Saudi or internationally recognized university, along with a valid professional certification (CPA, ACCA, or CMA). The Accountant will be registered with the Saudi Organization for Chartered and Professional Accountants (SOCPA) and will maintain full compliance with all anti-money laundering regulations issued by the Saudi Arabian Monetary Authority. All work will be conducted from our office located in the Al Olaya District, Riyadh, ensuring proximity to ZATCA offices and the Ministry of Commerce for timely regulatory submissions.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Beyond this period, fees may be subject to revision based on market conditions in Saudi Arabia.</w:t>
      </w:r>
    </w:p>
    <w:p>
      <w:pPr>
        <w:numPr>
          <w:ilvl w:val="0"/>
          <w:numId w:val="1001"/>
        </w:numPr>
        <w:pStyle w:val="Compact"/>
      </w:pPr>
      <w:r>
        <w:t xml:space="preserve">Payment terms: 50% advance upon contract signing, with the remaining 50% payable in equal monthly installments. All payments are due within fifteen (15) days of invoice issuance.</w:t>
      </w:r>
    </w:p>
    <w:p>
      <w:pPr>
        <w:numPr>
          <w:ilvl w:val="0"/>
          <w:numId w:val="1001"/>
        </w:numPr>
        <w:pStyle w:val="Compact"/>
      </w:pPr>
      <w:r>
        <w:t xml:space="preserve">The Accountant services are subject to the client providing all necessary financial documents, access to accounting software, and timely cooperation. Delays in document provision may result in additional charges.</w:t>
      </w:r>
    </w:p>
    <w:p>
      <w:pPr>
        <w:numPr>
          <w:ilvl w:val="0"/>
          <w:numId w:val="1001"/>
        </w:numPr>
        <w:pStyle w:val="Compact"/>
      </w:pPr>
      <w:r>
        <w:t xml:space="preserve">All data and financial records handled by the Accountant are subject to strict confidentiality as per Saudi data protection regulations. A Non-Disclosure Agreement (NDA) will be executed prior to commencement.</w:t>
      </w:r>
    </w:p>
    <w:p>
      <w:pPr>
        <w:numPr>
          <w:ilvl w:val="0"/>
          <w:numId w:val="1001"/>
        </w:numPr>
        <w:pStyle w:val="Compact"/>
      </w:pPr>
      <w:r>
        <w:t xml:space="preserve">This Quotation Estimate does not include costs for external audit fees, legal counsel, or government filing fees, which will be billed at actual cost with prior client approval.</w:t>
      </w:r>
    </w:p>
    <w:p>
      <w:pPr>
        <w:numPr>
          <w:ilvl w:val="0"/>
          <w:numId w:val="1001"/>
        </w:numPr>
        <w:pStyle w:val="Compact"/>
      </w:pPr>
      <w:r>
        <w:t xml:space="preserve">Any additional services beyond the scope defined in Section 2 will be subject to a supplementary Quotation Estimate issued separately.</w:t>
      </w:r>
    </w:p>
    <w:p>
      <w:pPr>
        <w:numPr>
          <w:ilvl w:val="0"/>
          <w:numId w:val="1001"/>
        </w:numPr>
        <w:pStyle w:val="Compact"/>
      </w:pPr>
      <w:r>
        <w:t xml:space="preserve">This agreement is governed by the laws of the Kingdom of Saudi Arabia. Any disputes shall be resolved through the competent courts in Riyadh, Saudi Arabia.</w:t>
      </w:r>
    </w:p>
    <w:p>
      <w:pPr>
        <w:numPr>
          <w:ilvl w:val="0"/>
          <w:numId w:val="1001"/>
        </w:numPr>
        <w:pStyle w:val="Compact"/>
      </w:pPr>
      <w:r>
        <w:t xml:space="preserve">The client reserves the right to terminate the engagement with thirty (30) days written notice. In such cases, fees for services rendered up to the termination date shall be due in full.</w:t>
      </w:r>
    </w:p>
    <w:p>
      <w:pPr>
        <w:pStyle w:val="FirstParagraph"/>
      </w:pPr>
      <w:r>
        <w:rPr>
          <w:bCs/>
          <w:b/>
        </w:rPr>
        <w:t xml:space="preserve">Important Note:</w:t>
      </w:r>
      <w:r>
        <w:t xml:space="preserve"> </w:t>
      </w:r>
      <w:r>
        <w:t xml:space="preserve">This Quotation Estimate is prepared exclusively for the client named above and is not transferable. All fees are quoted in Saudi Riyals (SAR) and are inclusive of the Accountant's professional time, software licensing, and office overheads in Riyadh. This document does not constitute a binding contract until formally signed by both parties.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outlined in this Quotation Estimate for Accountant services in Saudi Arabia, Riyadh.</w:t>
      </w:r>
    </w:p>
    <w:p>
      <w:pPr>
        <w:pStyle w:val="BodyText"/>
      </w:pPr>
      <w:r>
        <w:rPr>
          <w:bCs/>
          <w:b/>
        </w:rPr>
        <w:t xml:space="preserve">For: Al-Riyadh Financial Solutions LLC</w:t>
      </w:r>
      <w:r>
        <w:br/>
      </w:r>
      <w:r>
        <w:t xml:space="preserve">Name: _______________________</w:t>
      </w:r>
      <w:r>
        <w:br/>
      </w:r>
      <w:r>
        <w:t xml:space="preserve">Title: Managing Director</w:t>
      </w:r>
      <w:r>
        <w:br/>
      </w:r>
      <w:r>
        <w:t xml:space="preserve">Date: _______________________</w:t>
      </w:r>
    </w:p>
    <w:p>
      <w:pPr>
        <w:pStyle w:val="BodyText"/>
      </w:pPr>
      <w:r>
        <w:rPr>
          <w:bCs/>
          <w:b/>
        </w:rPr>
        <w:t xml:space="preserve">For: [Client Company Name]</w:t>
      </w:r>
      <w:r>
        <w:br/>
      </w:r>
      <w:r>
        <w:t xml:space="preserve">Name: _______________________</w:t>
      </w:r>
      <w:r>
        <w:br/>
      </w:r>
      <w:r>
        <w:t xml:space="preserve">Title: _______________________</w:t>
      </w:r>
      <w:r>
        <w:br/>
      </w:r>
      <w:r>
        <w:t xml:space="preserve">Date: _______________________</w:t>
      </w:r>
    </w:p>
    <w:p>
      <w:pPr>
        <w:pStyle w:val="BodyText"/>
      </w:pPr>
      <w:r>
        <w:t xml:space="preserve">Al-Riyadh Financial Solutions LLC — CR: 1010XXXXXX — Riyadh, Saudi Arabia</w:t>
      </w:r>
    </w:p>
    <w:p>
      <w:pPr>
        <w:pStyle w:val="BodyText"/>
      </w:pPr>
      <w:r>
        <w:t xml:space="preserve">This Quotation Estimate was generated on 15 June 2025. For inquiries, contact quotes@alriyadhfin.com.sa or +966 11 456 7890.</w:t>
      </w:r>
    </w:p>
    <w:p>
      <w:pPr>
        <w:pStyle w:val="BodyText"/>
      </w:pPr>
      <w:r>
        <w:t xml:space="preserve">Page 1 of 1 — Confidential Document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Saudi Arabia Riyadh</dc:title>
  <dc:creator/>
  <dc:language>en</dc:language>
  <cp:keywords/>
  <dcterms:created xsi:type="dcterms:W3CDTF">2026-10-10T06:41:15Z</dcterms:created>
  <dcterms:modified xsi:type="dcterms:W3CDTF">2026-10-10T06:41:15Z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