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quotation-estimate"/>
    <w:p>
      <w:pPr>
        <w:pStyle w:val="Heading1"/>
      </w:pPr>
      <w:r>
        <w:t xml:space="preserve">Quotation Estimate</w:t>
      </w:r>
    </w:p>
    <w:p>
      <w:pPr>
        <w:pStyle w:val="FirstParagraph"/>
      </w:pPr>
      <w:r>
        <w:t xml:space="preserve">Professional Accountant Services</w:t>
      </w:r>
    </w:p>
    <w:p>
      <w:pPr>
        <w:pStyle w:val="BodyText"/>
      </w:pPr>
      <w:r>
        <w:t xml:space="preserve">Singapore Singapore</w:t>
      </w:r>
    </w:p>
    <w:p>
      <w:pPr>
        <w:pStyle w:val="BodyText"/>
      </w:pPr>
      <w:r>
        <w:t xml:space="preserve">Prepared in accordance with the Accounting and Corporate Regulatory Authority (ACRA) guidelines for Singapore Singapore</w:t>
      </w:r>
    </w:p>
    <w:bookmarkEnd w:id="20"/>
    <w:p>
      <w:pPr>
        <w:pStyle w:val="BodyText"/>
      </w:pPr>
      <w:r>
        <w:rPr>
          <w:bCs/>
          <w:b/>
        </w:rPr>
        <w:t xml:space="preserve">Quotation No.</w:t>
      </w:r>
      <w:r>
        <w:t xml:space="preserve"> </w:t>
      </w:r>
      <w:r>
        <w:t xml:space="preserve">QE-SG-2025-04782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Meridian Accountant Pte. Ltd.</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issued by Meridian Accountant Pte. Ltd., a registered professional firm operating in Singapore Singapore, to provide a comprehensive and transparent breakdown of costs associated with engaging a qualified</w:t>
      </w:r>
      <w:r>
        <w:t xml:space="preserve"> </w:t>
      </w:r>
      <w:r>
        <w:t xml:space="preserve">Accountant</w:t>
      </w:r>
      <w:r>
        <w:t xml:space="preserve"> </w:t>
      </w:r>
      <w:r>
        <w:t xml:space="preserve">for the fiscal year 2025/2026. This document serves as a formal</w:t>
      </w:r>
      <w:r>
        <w:t xml:space="preserve"> </w:t>
      </w:r>
      <w:r>
        <w:t xml:space="preserve">Quotation Estimate</w:t>
      </w:r>
      <w:r>
        <w:t xml:space="preserve"> </w:t>
      </w:r>
      <w:r>
        <w:t xml:space="preserve">outlining the scope of services, applicable fees, payment schedules, and all relevant terms and conditions governing the professional engagement between our firm and the prospective client within the jurisdiction of Singapore Singapore.</w:t>
      </w:r>
    </w:p>
    <w:p>
      <w:pPr>
        <w:pStyle w:val="BodyText"/>
      </w:pPr>
      <w:r>
        <w:t xml:space="preserve">As a licensed</w:t>
      </w:r>
      <w:r>
        <w:t xml:space="preserve"> </w:t>
      </w:r>
      <w:r>
        <w:t xml:space="preserve">Accountant</w:t>
      </w:r>
      <w:r>
        <w:t xml:space="preserve"> </w:t>
      </w:r>
      <w:r>
        <w:t xml:space="preserve">firm registered with the Institute of Certified Public Accountants of Singapore (ICPA), we are committed to delivering the highest standard of financial stewardship, regulatory compliance, and advisory services tailored specifically to the business environment of Singapore Singapore. This</w:t>
      </w:r>
      <w:r>
        <w:t xml:space="preserve"> </w:t>
      </w:r>
      <w:r>
        <w:t xml:space="preserve">Quotation Estimate</w:t>
      </w:r>
      <w:r>
        <w:t xml:space="preserve"> </w:t>
      </w:r>
      <w:r>
        <w:t xml:space="preserve">reflects our dedication to providing clear, itemised pricing so that our clients in Singapore Singapore may make informed decisions regarding their financial management needs.</w:t>
      </w:r>
    </w:p>
    <w:bookmarkEnd w:id="21"/>
    <w:bookmarkStart w:id="22" w:name="client-information"/>
    <w:p>
      <w:pPr>
        <w:pStyle w:val="Heading2"/>
      </w:pPr>
      <w:r>
        <w:t xml:space="preserve">2.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w:t>
            </w:r>
          </w:p>
        </w:tc>
        <w:tc>
          <w:tcPr/>
          <w:p>
            <w:pPr>
              <w:pStyle w:val="Compact"/>
              <w:jc w:val="left"/>
            </w:pPr>
            <w:r>
              <w:t xml:space="preserve">Horizon Trading &amp; Logistics Pte. Ltd.</w:t>
            </w:r>
          </w:p>
        </w:tc>
      </w:tr>
      <w:tr>
        <w:tc>
          <w:tcPr/>
          <w:p>
            <w:pPr>
              <w:pStyle w:val="Compact"/>
              <w:jc w:val="left"/>
            </w:pPr>
            <w:r>
              <w:t xml:space="preserve">UEN (Unique Entity Number)</w:t>
            </w:r>
          </w:p>
        </w:tc>
        <w:tc>
          <w:tcPr/>
          <w:p>
            <w:pPr>
              <w:pStyle w:val="Compact"/>
              <w:jc w:val="left"/>
            </w:pPr>
            <w:r>
              <w:t xml:space="preserve">2019334567</w:t>
            </w:r>
          </w:p>
        </w:tc>
      </w:tr>
      <w:tr>
        <w:tc>
          <w:tcPr/>
          <w:p>
            <w:pPr>
              <w:pStyle w:val="Compact"/>
              <w:jc w:val="left"/>
            </w:pPr>
            <w:r>
              <w:t xml:space="preserve">Registered Address</w:t>
            </w:r>
          </w:p>
        </w:tc>
        <w:tc>
          <w:tcPr/>
          <w:p>
            <w:pPr>
              <w:pStyle w:val="Compact"/>
              <w:jc w:val="left"/>
            </w:pPr>
            <w:r>
              <w:t xml:space="preserve">12 Marina View, #28-01, Singapore Singapore 018961</w:t>
            </w:r>
          </w:p>
        </w:tc>
      </w:tr>
      <w:tr>
        <w:tc>
          <w:tcPr/>
          <w:p>
            <w:pPr>
              <w:pStyle w:val="Compact"/>
              <w:jc w:val="left"/>
            </w:pPr>
            <w:r>
              <w:t xml:space="preserve">Industry Sector</w:t>
            </w:r>
          </w:p>
        </w:tc>
        <w:tc>
          <w:tcPr/>
          <w:p>
            <w:pPr>
              <w:pStyle w:val="Compact"/>
              <w:jc w:val="left"/>
            </w:pPr>
            <w:r>
              <w:t xml:space="preserve">Import / Export and Supply Chain Management</w:t>
            </w:r>
          </w:p>
        </w:tc>
      </w:tr>
      <w:tr>
        <w:tc>
          <w:tcPr/>
          <w:p>
            <w:pPr>
              <w:pStyle w:val="Compact"/>
              <w:jc w:val="left"/>
            </w:pPr>
            <w:r>
              <w:t xml:space="preserve">Point of Contact</w:t>
            </w:r>
          </w:p>
        </w:tc>
        <w:tc>
          <w:tcPr/>
          <w:p>
            <w:pPr>
              <w:pStyle w:val="Compact"/>
              <w:jc w:val="left"/>
            </w:pPr>
            <w:r>
              <w:t xml:space="preserve">Mr. Tan Wei Jie, Chief Financial Officer</w:t>
            </w:r>
          </w:p>
        </w:tc>
      </w:tr>
      <w:tr>
        <w:tc>
          <w:tcPr/>
          <w:p>
            <w:pPr>
              <w:pStyle w:val="Compact"/>
              <w:jc w:val="left"/>
            </w:pPr>
            <w:r>
              <w:t xml:space="preserve">Engagement Type</w:t>
            </w:r>
          </w:p>
        </w:tc>
        <w:tc>
          <w:tcPr/>
          <w:p>
            <w:pPr>
              <w:pStyle w:val="Compact"/>
              <w:jc w:val="left"/>
            </w:pPr>
            <w:r>
              <w:t xml:space="preserve">Annual Accountant Retainer – Singapore Singapore</w:t>
            </w:r>
          </w:p>
        </w:tc>
      </w:tr>
    </w:tbl>
    <w:bookmarkEnd w:id="22"/>
    <w:bookmarkStart w:id="23" w:name="scope-of-accountant-services"/>
    <w:p>
      <w:pPr>
        <w:pStyle w:val="Heading2"/>
      </w:pPr>
      <w:r>
        <w:t xml:space="preserve">3. Scope of Accountant Services</w:t>
      </w:r>
    </w:p>
    <w:p>
      <w:pPr>
        <w:pStyle w:val="FirstParagraph"/>
      </w:pPr>
      <w:r>
        <w:t xml:space="preserve">The following</w:t>
      </w:r>
      <w:r>
        <w:t xml:space="preserve"> </w:t>
      </w:r>
      <w:r>
        <w:t xml:space="preserve">Quotation Estimate</w:t>
      </w:r>
      <w:r>
        <w:t xml:space="preserve"> </w:t>
      </w:r>
      <w:r>
        <w:t xml:space="preserve">covers the full spectrum of services to be rendered by our designated</w:t>
      </w:r>
      <w:r>
        <w:t xml:space="preserve"> </w:t>
      </w:r>
      <w:r>
        <w:t xml:space="preserve">Accountant</w:t>
      </w:r>
      <w:r>
        <w:t xml:space="preserve"> </w:t>
      </w:r>
      <w:r>
        <w:t xml:space="preserve">team for the client's operations in Singapore Singapore. Each service line item has been carefully structured to ensure full compliance with the Income Tax Act, the Companies Act 1967, and all applicable regulations enforced by the Inland Revenue Authority of Singapore (IRAS) and ACRA.</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Fee (SGD)</w:t>
            </w:r>
          </w:p>
        </w:tc>
      </w:tr>
      <w:tr>
        <w:tc>
          <w:tcPr/>
          <w:p>
            <w:pPr>
              <w:pStyle w:val="Compact"/>
              <w:jc w:val="left"/>
            </w:pPr>
            <w:r>
              <w:t xml:space="preserve">01</w:t>
            </w:r>
          </w:p>
        </w:tc>
        <w:tc>
          <w:tcPr/>
          <w:p>
            <w:pPr>
              <w:pStyle w:val="Compact"/>
              <w:jc w:val="left"/>
            </w:pPr>
            <w:r>
              <w:t xml:space="preserve">Monthly bookkeeping and ledger maintenance by a dedicated Accountant</w:t>
            </w:r>
          </w:p>
        </w:tc>
        <w:tc>
          <w:tcPr/>
          <w:p>
            <w:pPr>
              <w:pStyle w:val="Compact"/>
              <w:jc w:val="left"/>
            </w:pPr>
            <w:r>
              <w:t xml:space="preserve">Monthly</w:t>
            </w:r>
          </w:p>
        </w:tc>
        <w:tc>
          <w:tcPr/>
          <w:p>
            <w:pPr>
              <w:pStyle w:val="Compact"/>
              <w:jc w:val="left"/>
            </w:pPr>
            <w:r>
              <w:t xml:space="preserve">1,200.00</w:t>
            </w:r>
          </w:p>
        </w:tc>
      </w:tr>
      <w:tr>
        <w:tc>
          <w:tcPr/>
          <w:p>
            <w:pPr>
              <w:pStyle w:val="Compact"/>
              <w:jc w:val="left"/>
            </w:pPr>
            <w:r>
              <w:t xml:space="preserve">02</w:t>
            </w:r>
          </w:p>
        </w:tc>
        <w:tc>
          <w:tcPr/>
          <w:p>
            <w:pPr>
              <w:pStyle w:val="Compact"/>
              <w:jc w:val="left"/>
            </w:pPr>
            <w:r>
              <w:t xml:space="preserve">Preparation and filing of monthly GST returns with IRAS, Singapore Singapore</w:t>
            </w:r>
          </w:p>
        </w:tc>
        <w:tc>
          <w:tcPr/>
          <w:p>
            <w:pPr>
              <w:pStyle w:val="Compact"/>
              <w:jc w:val="left"/>
            </w:pPr>
            <w:r>
              <w:t xml:space="preserve">Monthly</w:t>
            </w:r>
          </w:p>
        </w:tc>
        <w:tc>
          <w:tcPr/>
          <w:p>
            <w:pPr>
              <w:pStyle w:val="Compact"/>
              <w:jc w:val="left"/>
            </w:pPr>
            <w:r>
              <w:t xml:space="preserve">450.00</w:t>
            </w:r>
          </w:p>
        </w:tc>
      </w:tr>
      <w:tr>
        <w:tc>
          <w:tcPr/>
          <w:p>
            <w:pPr>
              <w:pStyle w:val="Compact"/>
              <w:jc w:val="left"/>
            </w:pPr>
            <w:r>
              <w:t xml:space="preserve">03</w:t>
            </w:r>
          </w:p>
        </w:tc>
        <w:tc>
          <w:tcPr/>
          <w:p>
            <w:pPr>
              <w:pStyle w:val="Compact"/>
              <w:jc w:val="left"/>
            </w:pPr>
            <w:r>
              <w:t xml:space="preserve">Monthly payroll processing, CPF contributions, and statutory compliance</w:t>
            </w:r>
          </w:p>
        </w:tc>
        <w:tc>
          <w:tcPr/>
          <w:p>
            <w:pPr>
              <w:pStyle w:val="Compact"/>
              <w:jc w:val="left"/>
            </w:pPr>
            <w:r>
              <w:t xml:space="preserve">Monthly</w:t>
            </w:r>
          </w:p>
        </w:tc>
        <w:tc>
          <w:tcPr/>
          <w:p>
            <w:pPr>
              <w:pStyle w:val="Compact"/>
              <w:jc w:val="left"/>
            </w:pPr>
            <w:r>
              <w:t xml:space="preserve">850.00</w:t>
            </w:r>
          </w:p>
        </w:tc>
      </w:tr>
      <w:tr>
        <w:tc>
          <w:tcPr/>
          <w:p>
            <w:pPr>
              <w:pStyle w:val="Compact"/>
              <w:jc w:val="left"/>
            </w:pPr>
            <w:r>
              <w:t xml:space="preserve">04</w:t>
            </w:r>
          </w:p>
        </w:tc>
        <w:tc>
          <w:tcPr/>
          <w:p>
            <w:pPr>
              <w:pStyle w:val="Compact"/>
              <w:jc w:val="left"/>
            </w:pPr>
            <w:r>
              <w:t xml:space="preserve">Preparation of quarterly management accounts and financial reporting</w:t>
            </w:r>
          </w:p>
        </w:tc>
        <w:tc>
          <w:tcPr/>
          <w:p>
            <w:pPr>
              <w:pStyle w:val="Compact"/>
              <w:jc w:val="left"/>
            </w:pPr>
            <w:r>
              <w:t xml:space="preserve">Quarterly</w:t>
            </w:r>
          </w:p>
        </w:tc>
        <w:tc>
          <w:tcPr/>
          <w:p>
            <w:pPr>
              <w:pStyle w:val="Compact"/>
              <w:jc w:val="left"/>
            </w:pPr>
            <w:r>
              <w:t xml:space="preserve">1,500.00</w:t>
            </w:r>
          </w:p>
        </w:tc>
      </w:tr>
      <w:tr>
        <w:tc>
          <w:tcPr/>
          <w:p>
            <w:pPr>
              <w:pStyle w:val="Compact"/>
              <w:jc w:val="left"/>
            </w:pPr>
            <w:r>
              <w:t xml:space="preserve">05</w:t>
            </w:r>
          </w:p>
        </w:tc>
        <w:tc>
          <w:tcPr/>
          <w:p>
            <w:pPr>
              <w:pStyle w:val="Compact"/>
              <w:jc w:val="left"/>
            </w:pPr>
            <w:r>
              <w:t xml:space="preserve">Annual statutory financial statements preparation and audit support</w:t>
            </w:r>
          </w:p>
        </w:tc>
        <w:tc>
          <w:tcPr/>
          <w:p>
            <w:pPr>
              <w:pStyle w:val="Compact"/>
              <w:jc w:val="left"/>
            </w:pPr>
            <w:r>
              <w:t xml:space="preserve">Annually</w:t>
            </w:r>
          </w:p>
        </w:tc>
        <w:tc>
          <w:tcPr/>
          <w:p>
            <w:pPr>
              <w:pStyle w:val="Compact"/>
              <w:jc w:val="left"/>
            </w:pPr>
            <w:r>
              <w:t xml:space="preserve">4,800.00</w:t>
            </w:r>
          </w:p>
        </w:tc>
      </w:tr>
      <w:tr>
        <w:tc>
          <w:tcPr/>
          <w:p>
            <w:pPr>
              <w:pStyle w:val="Compact"/>
              <w:jc w:val="left"/>
            </w:pPr>
            <w:r>
              <w:t xml:space="preserve">06</w:t>
            </w:r>
          </w:p>
        </w:tc>
        <w:tc>
          <w:tcPr/>
          <w:p>
            <w:pPr>
              <w:pStyle w:val="Compact"/>
              <w:jc w:val="left"/>
            </w:pPr>
            <w:r>
              <w:t xml:space="preserve">Corporate Income Tax (CIT) return preparation and filing with IRAS</w:t>
            </w:r>
          </w:p>
        </w:tc>
        <w:tc>
          <w:tcPr/>
          <w:p>
            <w:pPr>
              <w:pStyle w:val="Compact"/>
              <w:jc w:val="left"/>
            </w:pPr>
            <w:r>
              <w:t xml:space="preserve">Annually</w:t>
            </w:r>
          </w:p>
        </w:tc>
        <w:tc>
          <w:tcPr/>
          <w:p>
            <w:pPr>
              <w:pStyle w:val="Compact"/>
              <w:jc w:val="left"/>
            </w:pPr>
            <w:r>
              <w:t xml:space="preserve">2,200.00</w:t>
            </w:r>
          </w:p>
        </w:tc>
      </w:tr>
      <w:tr>
        <w:tc>
          <w:tcPr/>
          <w:p>
            <w:pPr>
              <w:pStyle w:val="Compact"/>
              <w:jc w:val="left"/>
            </w:pPr>
            <w:r>
              <w:t xml:space="preserve">07</w:t>
            </w:r>
          </w:p>
        </w:tc>
        <w:tc>
          <w:tcPr/>
          <w:p>
            <w:pPr>
              <w:pStyle w:val="Compact"/>
              <w:jc w:val="left"/>
            </w:pPr>
            <w:r>
              <w:t xml:space="preserve">Annual ACRA filing (Form B1, annual return, and director declarations)</w:t>
            </w:r>
          </w:p>
        </w:tc>
        <w:tc>
          <w:tcPr/>
          <w:p>
            <w:pPr>
              <w:pStyle w:val="Compact"/>
              <w:jc w:val="left"/>
            </w:pPr>
            <w:r>
              <w:t xml:space="preserve">Annually</w:t>
            </w:r>
          </w:p>
        </w:tc>
        <w:tc>
          <w:tcPr/>
          <w:p>
            <w:pPr>
              <w:pStyle w:val="Compact"/>
              <w:jc w:val="left"/>
            </w:pPr>
            <w:r>
              <w:t xml:space="preserve">950.00</w:t>
            </w:r>
          </w:p>
        </w:tc>
      </w:tr>
      <w:tr>
        <w:tc>
          <w:tcPr/>
          <w:p>
            <w:pPr>
              <w:pStyle w:val="Compact"/>
              <w:jc w:val="left"/>
            </w:pPr>
            <w:r>
              <w:t xml:space="preserve">08</w:t>
            </w:r>
          </w:p>
        </w:tc>
        <w:tc>
          <w:tcPr/>
          <w:p>
            <w:pPr>
              <w:pStyle w:val="Compact"/>
              <w:jc w:val="left"/>
            </w:pPr>
            <w:r>
              <w:t xml:space="preserve">Tax advisory and planning sessions with a senior Accountant (4 hours)</w:t>
            </w:r>
          </w:p>
        </w:tc>
        <w:tc>
          <w:tcPr/>
          <w:p>
            <w:pPr>
              <w:pStyle w:val="Compact"/>
              <w:jc w:val="left"/>
            </w:pPr>
            <w:r>
              <w:t xml:space="preserve">Quarterly</w:t>
            </w:r>
          </w:p>
        </w:tc>
        <w:tc>
          <w:tcPr/>
          <w:p>
            <w:pPr>
              <w:pStyle w:val="Compact"/>
              <w:jc w:val="left"/>
            </w:pPr>
            <w:r>
              <w:t xml:space="preserve">1,800.00</w:t>
            </w:r>
          </w:p>
        </w:tc>
      </w:tr>
      <w:tr>
        <w:tc>
          <w:tcPr/>
          <w:p>
            <w:pPr>
              <w:pStyle w:val="Compact"/>
              <w:jc w:val="left"/>
            </w:pPr>
            <w:r>
              <w:t xml:space="preserve">09</w:t>
            </w:r>
          </w:p>
        </w:tc>
        <w:tc>
          <w:tcPr/>
          <w:p>
            <w:pPr>
              <w:pStyle w:val="Compact"/>
              <w:jc w:val="left"/>
            </w:pPr>
            <w:r>
              <w:t xml:space="preserve">Bank reconciliation and cash flow monitoring</w:t>
            </w:r>
          </w:p>
        </w:tc>
        <w:tc>
          <w:tcPr/>
          <w:p>
            <w:pPr>
              <w:pStyle w:val="Compact"/>
              <w:jc w:val="left"/>
            </w:pPr>
            <w:r>
              <w:t xml:space="preserve">Monthly</w:t>
            </w:r>
          </w:p>
        </w:tc>
        <w:tc>
          <w:tcPr/>
          <w:p>
            <w:pPr>
              <w:pStyle w:val="Compact"/>
              <w:jc w:val="left"/>
            </w:pPr>
            <w:r>
              <w:t xml:space="preserve">600.00</w:t>
            </w:r>
          </w:p>
        </w:tc>
      </w:tr>
      <w:tr>
        <w:tc>
          <w:tcPr/>
          <w:p>
            <w:pPr>
              <w:pStyle w:val="Compact"/>
              <w:jc w:val="left"/>
            </w:pPr>
            <w:r>
              <w:t xml:space="preserve">10</w:t>
            </w:r>
          </w:p>
        </w:tc>
        <w:tc>
          <w:tcPr/>
          <w:p>
            <w:pPr>
              <w:pStyle w:val="Compact"/>
              <w:jc w:val="left"/>
            </w:pPr>
            <w:r>
              <w:t xml:space="preserve">Ad-hoc accounting queries and regulatory correspondence handling</w:t>
            </w:r>
          </w:p>
        </w:tc>
        <w:tc>
          <w:tcPr/>
          <w:p>
            <w:pPr>
              <w:pStyle w:val="Compact"/>
              <w:jc w:val="left"/>
            </w:pPr>
            <w:r>
              <w:t xml:space="preserve">As needed</w:t>
            </w:r>
          </w:p>
        </w:tc>
        <w:tc>
          <w:tcPr/>
          <w:p>
            <w:pPr>
              <w:pStyle w:val="Compact"/>
              <w:jc w:val="left"/>
            </w:pPr>
            <w:r>
              <w:t xml:space="preserve">250.00 / hr</w:t>
            </w:r>
          </w:p>
        </w:tc>
      </w:tr>
    </w:tbl>
    <w:bookmarkEnd w:id="23"/>
    <w:bookmarkStart w:id="24" w:name="fee-summary-and-payment-terms"/>
    <w:p>
      <w:pPr>
        <w:pStyle w:val="Heading2"/>
      </w:pPr>
      <w:r>
        <w:t xml:space="preserve">4. Fee Summary and Payment Terms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Category</w:t>
            </w:r>
          </w:p>
        </w:tc>
        <w:tc>
          <w:tcPr/>
          <w:p>
            <w:pPr>
              <w:pStyle w:val="Compact"/>
              <w:jc w:val="left"/>
            </w:pPr>
            <w:r>
              <w:t xml:space="preserve">Amount (SGD)</w:t>
            </w:r>
          </w:p>
        </w:tc>
      </w:tr>
      <w:tr>
        <w:tc>
          <w:tcPr/>
          <w:p>
            <w:pPr>
              <w:pStyle w:val="Compact"/>
              <w:jc w:val="left"/>
            </w:pPr>
            <w:r>
              <w:t xml:space="preserve">Monthly recurring fees (Items 01, 02, 03, 09) – 12 months</w:t>
            </w:r>
          </w:p>
        </w:tc>
        <w:tc>
          <w:tcPr/>
          <w:p>
            <w:pPr>
              <w:pStyle w:val="Compact"/>
              <w:jc w:val="left"/>
            </w:pPr>
            <w:r>
              <w:t xml:space="preserve">31,800.00</w:t>
            </w:r>
          </w:p>
        </w:tc>
      </w:tr>
      <w:tr>
        <w:tc>
          <w:tcPr/>
          <w:p>
            <w:pPr>
              <w:pStyle w:val="Compact"/>
              <w:jc w:val="left"/>
            </w:pPr>
            <w:r>
              <w:t xml:space="preserve">Quarterly fees (Items 04, 08) – 4 quarters</w:t>
            </w:r>
          </w:p>
        </w:tc>
        <w:tc>
          <w:tcPr/>
          <w:p>
            <w:pPr>
              <w:pStyle w:val="Compact"/>
              <w:jc w:val="left"/>
            </w:pPr>
            <w:r>
              <w:t xml:space="preserve">10,800.00</w:t>
            </w:r>
          </w:p>
        </w:tc>
      </w:tr>
      <w:tr>
        <w:tc>
          <w:tcPr/>
          <w:p>
            <w:pPr>
              <w:pStyle w:val="Compact"/>
              <w:jc w:val="left"/>
            </w:pPr>
            <w:r>
              <w:t xml:space="preserve">Annual fees (Items 05, 06, 07)</w:t>
            </w:r>
          </w:p>
        </w:tc>
        <w:tc>
          <w:tcPr/>
          <w:p>
            <w:pPr>
              <w:pStyle w:val="Compact"/>
              <w:jc w:val="left"/>
            </w:pPr>
            <w:r>
              <w:t xml:space="preserve">7,950.00</w:t>
            </w:r>
          </w:p>
        </w:tc>
      </w:tr>
      <w:tr>
        <w:tc>
          <w:tcPr/>
          <w:p>
            <w:pPr>
              <w:pStyle w:val="Compact"/>
              <w:jc w:val="left"/>
            </w:pPr>
            <w:r>
              <w:t xml:space="preserve">Ad-hoc services (Item 10) – estimated allocation</w:t>
            </w:r>
          </w:p>
        </w:tc>
        <w:tc>
          <w:tcPr/>
          <w:p>
            <w:pPr>
              <w:pStyle w:val="Compact"/>
              <w:jc w:val="left"/>
            </w:pPr>
            <w:r>
              <w:t xml:space="preserve">2,000.00</w:t>
            </w:r>
          </w:p>
        </w:tc>
      </w:tr>
      <w:tr>
        <w:tc>
          <w:tcPr/>
          <w:p>
            <w:pPr>
              <w:pStyle w:val="Compact"/>
              <w:jc w:val="left"/>
            </w:pPr>
            <w:r>
              <w:t xml:space="preserve">Total Estimated Annual Fee (before GST)</w:t>
            </w:r>
          </w:p>
        </w:tc>
        <w:tc>
          <w:tcPr/>
          <w:p>
            <w:pPr>
              <w:pStyle w:val="Compact"/>
              <w:jc w:val="left"/>
            </w:pPr>
            <w:r>
              <w:t xml:space="preserve">52,550.00</w:t>
            </w:r>
          </w:p>
        </w:tc>
      </w:tr>
      <w:tr>
        <w:tc>
          <w:tcPr/>
          <w:p>
            <w:pPr>
              <w:pStyle w:val="Compact"/>
              <w:jc w:val="left"/>
            </w:pPr>
            <w:r>
              <w:t xml:space="preserve">GST @ 9% (Singapore Singapore standard rate)</w:t>
            </w:r>
          </w:p>
        </w:tc>
        <w:tc>
          <w:tcPr/>
          <w:p>
            <w:pPr>
              <w:pStyle w:val="Compact"/>
              <w:jc w:val="left"/>
            </w:pPr>
            <w:r>
              <w:t xml:space="preserve">4,729.50</w:t>
            </w:r>
          </w:p>
        </w:tc>
      </w:tr>
      <w:tr>
        <w:tc>
          <w:tcPr/>
          <w:p>
            <w:pPr>
              <w:pStyle w:val="Compact"/>
              <w:jc w:val="left"/>
            </w:pPr>
            <w:r>
              <w:t xml:space="preserve">Grand Total (inclusive of GST)</w:t>
            </w:r>
          </w:p>
        </w:tc>
        <w:tc>
          <w:tcPr/>
          <w:p>
            <w:pPr>
              <w:pStyle w:val="Compact"/>
              <w:jc w:val="left"/>
            </w:pPr>
            <w:r>
              <w:t xml:space="preserve">SGD 57,279.50</w:t>
            </w:r>
          </w:p>
        </w:tc>
      </w:tr>
    </w:tbl>
    <w:p>
      <w:pPr>
        <w:pStyle w:val="BodyText"/>
      </w:pPr>
      <w:r>
        <w:t xml:space="preserve">Payment shall be made in monthly instalments of SGD 4,773.29 (inclusive of GST), due on the 5th business day of each month via bank transfer to our designated account in Singapore Singapore. This</w:t>
      </w:r>
      <w:r>
        <w:t xml:space="preserve"> </w:t>
      </w:r>
      <w:r>
        <w:t xml:space="preserve">Quotation Estimate</w:t>
      </w:r>
      <w:r>
        <w:t xml:space="preserve"> </w:t>
      </w:r>
      <w:r>
        <w:t xml:space="preserve">assumes a minimum engagement period of twelve (12) months.</w:t>
      </w:r>
    </w:p>
    <w:bookmarkEnd w:id="24"/>
    <w:bookmarkStart w:id="25" w:name="terms-and-conditions"/>
    <w:p>
      <w:pPr>
        <w:pStyle w:val="Heading2"/>
      </w:pPr>
      <w:r>
        <w:t xml:space="preserve">5.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fees may be subject to revision based on prevailing market conditions in Singapore Singapore.</w:t>
      </w:r>
    </w:p>
    <w:p>
      <w:pPr>
        <w:numPr>
          <w:ilvl w:val="0"/>
          <w:numId w:val="1001"/>
        </w:numPr>
        <w:pStyle w:val="Compact"/>
      </w:pPr>
      <w:r>
        <w:t xml:space="preserve">All fees quoted are in Singapore Dollars (SGD) and are subject to the prevailing Goods and Services Tax (GST) rate as determined by the IRAS in Singapore Singapore.</w:t>
      </w:r>
    </w:p>
    <w:p>
      <w:pPr>
        <w:numPr>
          <w:ilvl w:val="0"/>
          <w:numId w:val="1001"/>
        </w:numPr>
        <w:pStyle w:val="Compact"/>
      </w:pPr>
      <w:r>
        <w:t xml:space="preserve">The designated</w:t>
      </w:r>
      <w:r>
        <w:t xml:space="preserve"> </w:t>
      </w:r>
      <w:r>
        <w:t xml:space="preserve">Accountant</w:t>
      </w:r>
      <w:r>
        <w:t xml:space="preserve"> </w:t>
      </w:r>
      <w:r>
        <w:t xml:space="preserve">assigned to this engagement shall be a member of ICPA and shall maintain professional indemnity insurance of no less than SGD 1,000,000.</w:t>
      </w:r>
    </w:p>
    <w:p>
      <w:pPr>
        <w:numPr>
          <w:ilvl w:val="0"/>
          <w:numId w:val="1001"/>
        </w:numPr>
        <w:pStyle w:val="Compact"/>
      </w:pPr>
      <w:r>
        <w:t xml:space="preserve">Any additional services beyond the scope outlined in this</w:t>
      </w:r>
      <w:r>
        <w:t xml:space="preserve"> </w:t>
      </w:r>
      <w:r>
        <w:t xml:space="preserve">Quotation Estimate</w:t>
      </w:r>
      <w:r>
        <w:t xml:space="preserve"> </w:t>
      </w:r>
      <w:r>
        <w:t xml:space="preserve">shall be billed at the hourly rate of SGD 250.00 plus applicable GST, subject to prior written approval by the client.</w:t>
      </w:r>
    </w:p>
    <w:p>
      <w:pPr>
        <w:numPr>
          <w:ilvl w:val="0"/>
          <w:numId w:val="1001"/>
        </w:numPr>
        <w:pStyle w:val="Compact"/>
      </w:pPr>
      <w:r>
        <w:t xml:space="preserve">Confidentiality: All financial data, records, and information provided by the client shall be treated in the strictest confidence in accordance with the Personal Data Protection Act (PDPA) of Singapore Singapore.</w:t>
      </w:r>
    </w:p>
    <w:p>
      <w:pPr>
        <w:numPr>
          <w:ilvl w:val="0"/>
          <w:numId w:val="1001"/>
        </w:numPr>
        <w:pStyle w:val="Compact"/>
      </w:pPr>
      <w:r>
        <w:t xml:space="preserve">Termination: Either party may terminate this engagement with thirty (30) days' written notice. Upon termination, all outstanding fees for services rendered up to the termination date shall be due and payable.</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a formal Service Agreement is executed by both parties in Singapore Singapore.</w:t>
      </w:r>
    </w:p>
    <w:p>
      <w:pPr>
        <w:numPr>
          <w:ilvl w:val="0"/>
          <w:numId w:val="1001"/>
        </w:numPr>
        <w:pStyle w:val="Compact"/>
      </w:pPr>
      <w:r>
        <w:t xml:space="preserve">Disputes arising from this engagement shall be resolved through mediation or arbitration in accordance with the rules of the Singapore International Arbitration Centre (SIAC).</w:t>
      </w:r>
    </w:p>
    <w:bookmarkEnd w:id="25"/>
    <w:bookmarkStart w:id="26" w:name="acceptance-and-authorisation"/>
    <w:p>
      <w:pPr>
        <w:pStyle w:val="Heading2"/>
      </w:pPr>
      <w:r>
        <w:t xml:space="preserve">6. Acceptance and Authorisation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fee structure outlined herein for the engagement of our</w:t>
      </w:r>
      <w:r>
        <w:t xml:space="preserve"> </w:t>
      </w:r>
      <w:r>
        <w:t xml:space="preserve">Accountant</w:t>
      </w:r>
      <w:r>
        <w:t xml:space="preserve"> </w:t>
      </w:r>
      <w:r>
        <w:t xml:space="preserve">services in Singapore Singapore.</w:t>
      </w:r>
    </w:p>
    <w:p>
      <w:pPr>
        <w:pStyle w:val="BodyText"/>
      </w:pPr>
      <w:r>
        <w:rPr>
          <w:bCs/>
          <w:b/>
        </w:rPr>
        <w:t xml:space="preserve">For and on behalf of</w:t>
      </w:r>
      <w:r>
        <w:br/>
      </w:r>
      <w:r>
        <w:t xml:space="preserve">Meridian Accountant Pte. Ltd.</w:t>
      </w:r>
      <w:r>
        <w:br/>
      </w:r>
      <w:r>
        <w:t xml:space="preserve">Authorised Signatory</w:t>
      </w:r>
      <w:r>
        <w:br/>
      </w:r>
      <w:r>
        <w:t xml:space="preserve">Date: _______________</w:t>
      </w:r>
    </w:p>
    <w:p>
      <w:pPr>
        <w:pStyle w:val="BodyText"/>
      </w:pPr>
      <w:r>
        <w:rPr>
          <w:bCs/>
          <w:b/>
        </w:rPr>
        <w:t xml:space="preserve">For and on behalf of</w:t>
      </w:r>
      <w:r>
        <w:br/>
      </w:r>
      <w:r>
        <w:t xml:space="preserve">Horizon Trading &amp; Logistics Pte. Ltd.</w:t>
      </w:r>
      <w:r>
        <w:br/>
      </w:r>
      <w:r>
        <w:t xml:space="preserve">Authorised Signatory</w:t>
      </w:r>
      <w:r>
        <w:br/>
      </w:r>
      <w:r>
        <w:t xml:space="preserve">Date: _______________</w:t>
      </w:r>
    </w:p>
    <w:p>
      <w:pPr>
        <w:pStyle w:val="BodyText"/>
      </w:pPr>
      <w:r>
        <w:rPr>
          <w:bCs/>
          <w:b/>
        </w:rPr>
        <w:t xml:space="preserve">Meridian Accountant Pte. Ltd.</w:t>
      </w:r>
      <w:r>
        <w:t xml:space="preserve"> </w:t>
      </w:r>
      <w:r>
        <w:t xml:space="preserve">| 12 Marina View, #28-01, Singapore Singapore 018961</w:t>
      </w:r>
      <w:r>
        <w:br/>
      </w:r>
      <w:r>
        <w:t xml:space="preserve">Tel: +65 6888 4520 | Email: enquiries@meridianaccountant.sg.sg | UEN: 2015112233</w:t>
      </w:r>
      <w:r>
        <w:br/>
      </w:r>
      <w:r>
        <w:t xml:space="preserve">This Quotation Estimate is the property of Meridian Accountant Pte. Ltd. and is intended solely for the named client in Singapore Singapore.</w:t>
      </w:r>
      <w:r>
        <w:br/>
      </w:r>
      <w:r>
        <w:t xml:space="preserve">© 2025 Meridian Accountant Pte. Ltd.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Accountant Services - Singapore Singapore</dc:title>
  <dc:creator/>
  <dc:language>en</dc:language>
  <cp:keywords/>
  <dcterms:created xsi:type="dcterms:W3CDTF">2026-10-10T07:33:11Z</dcterms:created>
  <dcterms:modified xsi:type="dcterms:W3CDTF">2026-10-10T07:33:11Z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