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Accountant Services — South Korea Seoul</w:t>
      </w:r>
    </w:p>
    <w:p>
      <w:pPr>
        <w:pStyle w:val="BodyText"/>
      </w:pPr>
      <w:r>
        <w:t xml:space="preserve">Document Reference: QE-SEOUL-2025-0472</w:t>
      </w:r>
    </w:p>
    <w:bookmarkEnd w:id="20"/>
    <w:p>
      <w:pPr>
        <w:pStyle w:val="BodyText"/>
      </w:pPr>
      <w:r>
        <w:rPr>
          <w:bCs/>
          <w:b/>
        </w:rPr>
        <w:t xml:space="preserve">Prepared By:</w:t>
      </w:r>
      <w:r>
        <w:br/>
      </w:r>
      <w:r>
        <w:t xml:space="preserve">Hanjin Professional Accounting Co., Ltd.</w:t>
      </w:r>
      <w:r>
        <w:br/>
      </w:r>
      <w:r>
        <w:t xml:space="preserve">12F, 456 Teheran-ro, Gangnam-gu</w:t>
      </w:r>
      <w:r>
        <w:br/>
      </w:r>
      <w:r>
        <w:t xml:space="preserve">Seoul, South Korea 06236</w:t>
      </w:r>
      <w:r>
        <w:br/>
      </w:r>
      <w:r>
        <w:t xml:space="preserve">Tel: +82-2-555-0147</w:t>
      </w:r>
      <w:r>
        <w:br/>
      </w:r>
      <w:r>
        <w:t xml:space="preserve">Email: quotes@hanjin-accounting.kr</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Company Name]</w:t>
      </w:r>
      <w:r>
        <w:br/>
      </w:r>
      <w:r>
        <w:t xml:space="preserve">[Client Address], Seoul, South Korea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Hanjin Professional Accounting Co., Ltd. to provide a comprehensive and transparent breakdown of professional</w:t>
      </w:r>
      <w:r>
        <w:t xml:space="preserve"> </w:t>
      </w:r>
      <w:r>
        <w:t xml:space="preserve">Accountant</w:t>
      </w:r>
      <w:r>
        <w:t xml:space="preserve"> </w:t>
      </w:r>
      <w:r>
        <w:t xml:space="preserve">services to be rendered to the client within the metropolitan area of</w:t>
      </w:r>
      <w:r>
        <w:t xml:space="preserve"> </w:t>
      </w:r>
      <w:r>
        <w:t xml:space="preserve">South Korea Seoul</w:t>
      </w:r>
      <w:r>
        <w:t xml:space="preserve">. This document outlines the scope of work, fee structure, deliverables, and applicable terms governing the engagement. All pricing is quoted in Korean Won (KRW) unless otherwise specified, and this</w:t>
      </w:r>
      <w:r>
        <w:t xml:space="preserve"> </w:t>
      </w:r>
      <w:r>
        <w:t xml:space="preserve">Quotation Estimate</w:t>
      </w:r>
      <w:r>
        <w:t xml:space="preserve"> </w:t>
      </w:r>
      <w:r>
        <w:t xml:space="preserve">reflects current market rates for certified public accountant services operating in Seoul as of the date of issuance.</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engagement proposed herein encompasses the following professional services to be delivered at our Seoul office or at the client's designated premises within South Korea Seoul:</w:t>
      </w:r>
    </w:p>
    <w:p>
      <w:pPr>
        <w:numPr>
          <w:ilvl w:val="0"/>
          <w:numId w:val="1001"/>
        </w:numPr>
        <w:pStyle w:val="Compact"/>
      </w:pPr>
      <w:r>
        <w:t xml:space="preserve">Monthly bookkeeping and general ledger maintenance in compliance with Korean Commercial Act and K-IFRS standards.</w:t>
      </w:r>
    </w:p>
    <w:p>
      <w:pPr>
        <w:numPr>
          <w:ilvl w:val="0"/>
          <w:numId w:val="1001"/>
        </w:numPr>
        <w:pStyle w:val="Compact"/>
      </w:pPr>
      <w:r>
        <w:t xml:space="preserve">Preparation and filing of monthly VAT (Value Added Tax) returns with the National Tax Service of South Korea.</w:t>
      </w:r>
    </w:p>
    <w:p>
      <w:pPr>
        <w:numPr>
          <w:ilvl w:val="0"/>
          <w:numId w:val="1001"/>
        </w:numPr>
        <w:pStyle w:val="Compact"/>
      </w:pPr>
      <w:r>
        <w:t xml:space="preserve">Quarterly and annual corporate income tax return preparation and submission.</w:t>
      </w:r>
    </w:p>
    <w:p>
      <w:pPr>
        <w:numPr>
          <w:ilvl w:val="0"/>
          <w:numId w:val="1001"/>
        </w:numPr>
        <w:pStyle w:val="Compact"/>
      </w:pPr>
      <w:r>
        <w:t xml:space="preserve">Annual financial statement preparation including balance sheet, income statement, and cash flow statement.</w:t>
      </w:r>
    </w:p>
    <w:p>
      <w:pPr>
        <w:numPr>
          <w:ilvl w:val="0"/>
          <w:numId w:val="1001"/>
        </w:numPr>
        <w:pStyle w:val="Compact"/>
      </w:pPr>
      <w:r>
        <w:t xml:space="preserve">Payroll processing and social insurance contribution management for up to 50 employees.</w:t>
      </w:r>
    </w:p>
    <w:p>
      <w:pPr>
        <w:numPr>
          <w:ilvl w:val="0"/>
          <w:numId w:val="1001"/>
        </w:numPr>
        <w:pStyle w:val="Compact"/>
      </w:pPr>
      <w:r>
        <w:t xml:space="preserve">Advisory services on tax planning, corporate restructuring, and regulatory compliance specific to South Korea Seoul business operations.</w:t>
      </w:r>
    </w:p>
    <w:p>
      <w:pPr>
        <w:numPr>
          <w:ilvl w:val="0"/>
          <w:numId w:val="1001"/>
        </w:numPr>
        <w:pStyle w:val="Compact"/>
      </w:pPr>
      <w:r>
        <w:t xml:space="preserve">Representation before the National Tax Service and local Seoul tax offices during audits or inquiries.</w:t>
      </w:r>
    </w:p>
    <w:p>
      <w:pPr>
        <w:numPr>
          <w:ilvl w:val="0"/>
          <w:numId w:val="1001"/>
        </w:numPr>
        <w:pStyle w:val="Compact"/>
      </w:pPr>
      <w:r>
        <w:t xml:space="preserve">Management of foreign exchange transactions and transfer pricing documentation for multinational entities operating in Seoul.</w:t>
      </w:r>
    </w:p>
    <w:bookmarkEnd w:id="22"/>
    <w:bookmarkStart w:id="23" w:name="Xecf3771f97bee37e22c575b798b43bfdc6c1310"/>
    <w:p>
      <w:pPr>
        <w:pStyle w:val="Heading2"/>
      </w:pPr>
      <w:r>
        <w:t xml:space="preserve">3. Fee Schedule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(KRW)</w:t>
            </w:r>
          </w:p>
        </w:tc>
        <w:tc>
          <w:tcPr/>
          <w:p>
            <w:pPr>
              <w:pStyle w:val="Compact"/>
              <w:jc w:val="left"/>
            </w:pPr>
            <w:r>
              <w:t xml:space="preserve">Annual Total (KRW)</w:t>
            </w:r>
          </w:p>
        </w:tc>
      </w:tr>
      <w:tr>
        <w:tc>
          <w:tcPr/>
          <w:p>
            <w:pPr>
              <w:pStyle w:val="Compact"/>
              <w:jc w:val="left"/>
            </w:pPr>
            <w:r>
              <w:t xml:space="preserve">01</w:t>
            </w:r>
          </w:p>
        </w:tc>
        <w:tc>
          <w:tcPr/>
          <w:p>
            <w:pPr>
              <w:pStyle w:val="Compact"/>
              <w:jc w:val="left"/>
            </w:pPr>
            <w:r>
              <w:t xml:space="preserve">Monthly Bookkeeping &amp; General Ledger Maintenance</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VAT Return Preparation &amp; Filing (National Tax Service, Seoul)</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Corporate Income Tax Return (Annual)</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Annual Financial Statement Preparation (K-IFRS)</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Payroll Processing &amp; Social Insurance Management</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Tax Advisory &amp; Compliance Consultation (Seoul-specific)</w:t>
            </w:r>
          </w:p>
        </w:tc>
        <w:tc>
          <w:tcPr/>
          <w:p>
            <w:pPr>
              <w:pStyle w:val="Compact"/>
              <w:jc w:val="left"/>
            </w:pPr>
            <w:r>
              <w:t xml:space="preserve">Quarterly</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Tax Audit Representation (National Tax Service, Seoul)</w:t>
            </w:r>
          </w:p>
        </w:tc>
        <w:tc>
          <w:tcPr/>
          <w:p>
            <w:pPr>
              <w:pStyle w:val="Compact"/>
              <w:jc w:val="left"/>
            </w:pPr>
            <w:r>
              <w:t xml:space="preserve">As Needed</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Foreign Exchange &amp; Transfer Pricing Documentation</w:t>
            </w:r>
          </w:p>
        </w:tc>
        <w:tc>
          <w:tcPr/>
          <w:p>
            <w:pPr>
              <w:pStyle w:val="Compact"/>
              <w:jc w:val="left"/>
            </w:pPr>
            <w:r>
              <w:t xml:space="preserve">Quarterly</w:t>
            </w:r>
          </w:p>
        </w:tc>
        <w:tc>
          <w:tcPr/>
          <w:p>
            <w:pPr>
              <w:pStyle w:val="Compact"/>
              <w:jc w:val="left"/>
            </w:pPr>
            <w:r>
              <w:t xml:space="preserve">800,000</w:t>
            </w:r>
          </w:p>
        </w:tc>
        <w:tc>
          <w:tcPr/>
          <w:p>
            <w:pPr>
              <w:pStyle w:val="Compact"/>
              <w:jc w:val="left"/>
            </w:pPr>
            <w:r>
              <w:t xml:space="preserve">3,200,000</w:t>
            </w:r>
          </w:p>
        </w:tc>
      </w:tr>
      <w:tr>
        <w:tc>
          <w:tcPr>
            <w:gridSpan w:val="4"/>
          </w:tcPr>
          <w:p>
            <w:pPr>
              <w:pStyle w:val="Compact"/>
              <w:jc w:val="right"/>
            </w:pPr>
            <w:r>
              <w:t xml:space="preserve">TOTAL ANNUAL QUOTATION ESTIMATE</w:t>
            </w:r>
          </w:p>
        </w:tc>
        <w:tc>
          <w:tcPr/>
          <w:p>
            <w:pPr>
              <w:pStyle w:val="Compact"/>
              <w:jc w:val="left"/>
            </w:pPr>
            <w:r>
              <w:t xml:space="preserve">23,700,000</w:t>
            </w:r>
          </w:p>
        </w:tc>
      </w:tr>
      <w:tr>
        <w:tc>
          <w:tcPr>
            <w:gridSpan w:val="4"/>
          </w:tcPr>
          <w:p>
            <w:pPr>
              <w:pStyle w:val="Compact"/>
              <w:jc w:val="right"/>
            </w:pPr>
            <w:r>
              <w:t xml:space="preserve">VAT (10%)</w:t>
            </w:r>
          </w:p>
        </w:tc>
        <w:tc>
          <w:tcPr/>
          <w:p>
            <w:pPr>
              <w:pStyle w:val="Compact"/>
              <w:jc w:val="left"/>
            </w:pPr>
            <w:r>
              <w:t xml:space="preserve">2,370,000</w:t>
            </w:r>
          </w:p>
        </w:tc>
      </w:tr>
      <w:tr>
        <w:tc>
          <w:tcPr>
            <w:gridSpan w:val="4"/>
          </w:tcPr>
          <w:p>
            <w:pPr>
              <w:pStyle w:val="Compact"/>
              <w:jc w:val="right"/>
            </w:pPr>
            <w:r>
              <w:t xml:space="preserve">GRAND TOTAL (Incl. VAT)</w:t>
            </w:r>
          </w:p>
        </w:tc>
        <w:tc>
          <w:tcPr/>
          <w:p>
            <w:pPr>
              <w:pStyle w:val="Compact"/>
              <w:jc w:val="left"/>
            </w:pPr>
            <w:r>
              <w:t xml:space="preserve">26,070,000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fees may be subject to revision based on prevailing market conditions in South Korea Seoul.</w:t>
      </w:r>
    </w:p>
    <w:p>
      <w:pPr>
        <w:numPr>
          <w:ilvl w:val="0"/>
          <w:numId w:val="1002"/>
        </w:numPr>
        <w:pStyle w:val="Compact"/>
      </w:pPr>
      <w:r>
        <w:t xml:space="preserve">All services shall be performed by a licensed Certified Public Accountant (CPA) registered with the Korean Institute of Certified Public Accountants (KICPA) and experienced in Seoul-based corporate engagements.</w:t>
      </w:r>
    </w:p>
    <w:p>
      <w:pPr>
        <w:numPr>
          <w:ilvl w:val="0"/>
          <w:numId w:val="1002"/>
        </w:numPr>
        <w:pStyle w:val="Compact"/>
      </w:pPr>
      <w:r>
        <w:t xml:space="preserve">Payment terms: 50% of the annual fee shall be due upon contract execution, and the remaining 50% shall be payable in equal quarterly installments within fifteen (15) days of each quarter-end invoice.</w:t>
      </w:r>
    </w:p>
    <w:p>
      <w:pPr>
        <w:numPr>
          <w:ilvl w:val="0"/>
          <w:numId w:val="1002"/>
        </w:numPr>
        <w:pStyle w:val="Compact"/>
      </w:pPr>
      <w:r>
        <w:t xml:space="preserve">The</w:t>
      </w:r>
      <w:r>
        <w:t xml:space="preserve"> </w:t>
      </w:r>
      <w:r>
        <w:t xml:space="preserve">Accountant</w:t>
      </w:r>
      <w:r>
        <w:t xml:space="preserve"> </w:t>
      </w:r>
      <w:r>
        <w:t xml:space="preserve">shall maintain strict confidentiality of all financial data, trade secrets, and proprietary information in accordance with the Personal Information Protection Act of South Korea and professional ethical standards.</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billed separately at the hourly rate of KRW 150,000 per hour, subject to prior written approval by the client.</w:t>
      </w:r>
    </w:p>
    <w:p>
      <w:pPr>
        <w:numPr>
          <w:ilvl w:val="0"/>
          <w:numId w:val="1002"/>
        </w:numPr>
        <w:pStyle w:val="Compact"/>
      </w:pPr>
      <w:r>
        <w:t xml:space="preserve">This engagement is governed by the laws of the Republic of Korea, and any disputes shall be resolved through the Seoul District Court or by arbitration at the Korean Commercial Arbitration Board (KCAB) in Seoul.</w:t>
      </w:r>
    </w:p>
    <w:p>
      <w:pPr>
        <w:numPr>
          <w:ilvl w:val="0"/>
          <w:numId w:val="1002"/>
        </w:numPr>
        <w:pStyle w:val="Compact"/>
      </w:pPr>
      <w:r>
        <w:t xml:space="preserve">The</w:t>
      </w:r>
      <w:r>
        <w:t xml:space="preserve"> </w:t>
      </w:r>
      <w:r>
        <w:t xml:space="preserve">Accountant</w:t>
      </w:r>
      <w:r>
        <w:t xml:space="preserve"> </w:t>
      </w:r>
      <w:r>
        <w:t xml:space="preserve">shall provide a written progress report to the client on a monthly basis, summarizing all filings, compliance actions, and advisory recommendations relevant to the client's operations in South Korea Seoul.</w:t>
      </w:r>
    </w:p>
    <w:p>
      <w:pPr>
        <w:numPr>
          <w:ilvl w:val="0"/>
          <w:numId w:val="1002"/>
        </w:numPr>
        <w:pStyle w:val="Compact"/>
      </w:pPr>
      <w:r>
        <w:t xml:space="preserve">Force majeure events, including but not limited to natural disasters, government-mandated closures, or changes in Korean tax legislation, may affect service delivery timelines. Both parties shall negotiate in good faith to mitigate such impacts.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professional</w:t>
      </w:r>
      <w:r>
        <w:t xml:space="preserve"> </w:t>
      </w:r>
      <w:r>
        <w:t xml:space="preserve">Accountant</w:t>
      </w:r>
      <w:r>
        <w:t xml:space="preserve"> </w:t>
      </w:r>
      <w:r>
        <w:t xml:space="preserve">services in South Korea Seoul. This document constitutes a binding offer upon mutual execution.</w:t>
      </w:r>
    </w:p>
    <w:bookmarkEnd w:id="25"/>
    <w:p>
      <w:pPr>
        <w:pStyle w:val="BodyText"/>
      </w:pPr>
      <w:r>
        <w:rPr>
          <w:bCs/>
          <w:b/>
        </w:rPr>
        <w:t xml:space="preserve">For Hanjin Professional Accounting Co., Ltd.</w:t>
      </w:r>
      <w:r>
        <w:br/>
      </w:r>
      <w:r>
        <w:br/>
      </w:r>
      <w:r>
        <w:t xml:space="preserve">Name: _________________________</w:t>
      </w:r>
      <w:r>
        <w:br/>
      </w:r>
      <w:r>
        <w:t xml:space="preserve">Title: Managing Partner / CPA</w:t>
      </w:r>
      <w:r>
        <w:br/>
      </w:r>
      <w:r>
        <w:t xml:space="preserve">Signature: _________________________</w:t>
      </w:r>
      <w:r>
        <w:br/>
      </w:r>
      <w:r>
        <w:t xml:space="preserve">Date: _________________________</w:t>
      </w:r>
    </w:p>
    <w:p>
      <w:pPr>
        <w:pStyle w:val="BodyText"/>
      </w:pPr>
      <w:r>
        <w:rPr>
          <w:bCs/>
          <w:b/>
        </w:rPr>
        <w:t xml:space="preserve">For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Hanjin Professional Accounting Co., Ltd. | 12F, 456 Teheran-ro, Gangnam-gu, Seoul, South Korea 06236</w:t>
      </w:r>
    </w:p>
    <w:p>
      <w:pPr>
        <w:pStyle w:val="BodyText"/>
      </w:pPr>
      <w:r>
        <w:t xml:space="preserve">Business Registration No. 123-45-67890 | KICPA Member Firm | This Quotation Estimate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South Korea Seoul</dc:title>
  <dc:creator/>
  <dc:language>en</dc:language>
  <cp:keywords/>
  <dcterms:created xsi:type="dcterms:W3CDTF">2026-10-10T07:02:38Z</dcterms:created>
  <dcterms:modified xsi:type="dcterms:W3CDTF">2026-10-10T07:02:38Z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