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Accountant</w:t>
      </w:r>
      <w:r>
        <w:t xml:space="preserve"> </w:t>
      </w:r>
      <w:r>
        <w:t xml:space="preserve">Services</w:t>
      </w:r>
      <w:r>
        <w:t xml:space="preserve"> </w:t>
      </w:r>
      <w:r>
        <w:t xml:space="preserve">-</w:t>
      </w:r>
      <w:r>
        <w:t xml:space="preserve"> </w:t>
      </w:r>
      <w:r>
        <w:t xml:space="preserve">Thailand</w:t>
      </w:r>
      <w:r>
        <w:t xml:space="preserve"> </w:t>
      </w:r>
      <w:r>
        <w:t xml:space="preserve">Bangkok</w:t>
      </w:r>
    </w:p>
    <w:bookmarkStart w:id="20" w:name="quotation-estimate"/>
    <w:p>
      <w:pPr>
        <w:pStyle w:val="Heading1"/>
      </w:pPr>
      <w:r>
        <w:t xml:space="preserve">Quotation Estimate</w:t>
      </w:r>
    </w:p>
    <w:p>
      <w:pPr>
        <w:pStyle w:val="FirstParagraph"/>
      </w:pPr>
      <w:r>
        <w:rPr>
          <w:bCs/>
          <w:b/>
        </w:rPr>
        <w:t xml:space="preserve">Siam Pacific Accounting &amp; Advisory Co., Ltd.</w:t>
      </w:r>
    </w:p>
    <w:p>
      <w:pPr>
        <w:pStyle w:val="BodyText"/>
      </w:pPr>
      <w:r>
        <w:t xml:space="preserve">128/45 Sukhumvit Road, Khlong Toei, Bangkok 10110, Thailand</w:t>
      </w:r>
    </w:p>
    <w:p>
      <w:pPr>
        <w:pStyle w:val="BodyText"/>
      </w:pPr>
      <w:r>
        <w:t xml:space="preserve">Tel: +66 (0) 2 255 8800 | Email: quotations@siampacific.co.th</w:t>
      </w:r>
    </w:p>
    <w:p>
      <w:pPr>
        <w:pStyle w:val="BodyText"/>
      </w:pPr>
      <w:r>
        <w:t xml:space="preserve">Company Registration No. 0105559876543 | VAT No. 0105559876543</w:t>
      </w:r>
    </w:p>
    <w:bookmarkEnd w:id="20"/>
    <w:p>
      <w:pPr>
        <w:pStyle w:val="BodyText"/>
      </w:pPr>
      <w:r>
        <w:rPr>
          <w:bCs/>
          <w:b/>
        </w:rPr>
        <w:t xml:space="preserve">Quotation No.:</w:t>
      </w:r>
      <w:r>
        <w:t xml:space="preserve"> </w:t>
      </w:r>
      <w:r>
        <w:t xml:space="preserve">QTE-2025-BKK-0472</w:t>
      </w:r>
    </w:p>
    <w:p>
      <w:pPr>
        <w:pStyle w:val="BodyText"/>
      </w:pPr>
      <w:r>
        <w:rPr>
          <w:bCs/>
          <w:b/>
        </w:rPr>
        <w:t xml:space="preserve">Date Issued:</w:t>
      </w:r>
      <w:r>
        <w:t xml:space="preserve"> </w:t>
      </w:r>
      <w:r>
        <w:t xml:space="preserve">15 June 2025</w:t>
      </w:r>
    </w:p>
    <w:p>
      <w:pPr>
        <w:pStyle w:val="BodyText"/>
      </w:pPr>
      <w:r>
        <w:rPr>
          <w:bCs/>
          <w:b/>
        </w:rPr>
        <w:t xml:space="preserve">Valid Until:</w:t>
      </w:r>
      <w:r>
        <w:t xml:space="preserve"> </w:t>
      </w:r>
      <w:r>
        <w:t xml:space="preserve">15 July 2025</w:t>
      </w:r>
    </w:p>
    <w:p>
      <w:pPr>
        <w:pStyle w:val="BodyText"/>
      </w:pPr>
      <w:r>
        <w:rPr>
          <w:bCs/>
          <w:b/>
        </w:rPr>
        <w:t xml:space="preserve">Prepared For:</w:t>
      </w:r>
      <w:r>
        <w:t xml:space="preserve"> </w:t>
      </w:r>
      <w:r>
        <w:t xml:space="preserve">Mr. James Anderson</w:t>
      </w:r>
    </w:p>
    <w:p>
      <w:pPr>
        <w:pStyle w:val="BodyText"/>
      </w:pPr>
      <w:r>
        <w:rPr>
          <w:bCs/>
          <w:b/>
        </w:rPr>
        <w:t xml:space="preserve">Company:</w:t>
      </w:r>
      <w:r>
        <w:t xml:space="preserve"> </w:t>
      </w:r>
      <w:r>
        <w:t xml:space="preserve">Anderson Trading (Thailand) Co., Ltd.</w:t>
      </w:r>
    </w:p>
    <w:p>
      <w:pPr>
        <w:pStyle w:val="BodyText"/>
      </w:pPr>
      <w:r>
        <w:rPr>
          <w:bCs/>
          <w:b/>
        </w:rPr>
        <w:t xml:space="preserve">Address:</w:t>
      </w:r>
      <w:r>
        <w:t xml:space="preserve"> </w:t>
      </w:r>
      <w:r>
        <w:t xml:space="preserve">88/12 Rama IX Road, Huai Khwang, Bangkok 10310</w:t>
      </w:r>
    </w:p>
    <w:bookmarkStart w:id="21" w:name="X091f0dfb82768bdcc14fb07ea5eabec314d991f"/>
    <w:p>
      <w:pPr>
        <w:pStyle w:val="Heading2"/>
      </w:pPr>
      <w:r>
        <w:t xml:space="preserve">1. Introduction and Purpose of This Quotation Estimate</w:t>
      </w:r>
    </w:p>
    <w:p>
      <w:pPr>
        <w:pStyle w:val="FirstParagraph"/>
      </w:pPr>
      <w:r>
        <w:t xml:space="preserve">This</w:t>
      </w:r>
      <w:r>
        <w:t xml:space="preserve"> </w:t>
      </w:r>
      <w:r>
        <w:t xml:space="preserve">Quotation Estimate</w:t>
      </w:r>
      <w:r>
        <w:t xml:space="preserve"> </w:t>
      </w:r>
      <w:r>
        <w:t xml:space="preserve">has been prepared by Siam Pacific Accounting &amp; Advisory Co., Ltd. to provide Anderson Trading (Thailand) Co., Ltd. with a comprehensive and transparent breakdown of professional</w:t>
      </w:r>
      <w:r>
        <w:t xml:space="preserve"> </w:t>
      </w:r>
      <w:r>
        <w:t xml:space="preserve">Accountant</w:t>
      </w:r>
      <w:r>
        <w:t xml:space="preserve"> </w:t>
      </w:r>
      <w:r>
        <w:t xml:space="preserve">services to be delivered within the</w:t>
      </w:r>
      <w:r>
        <w:t xml:space="preserve"> </w:t>
      </w:r>
      <w:r>
        <w:t xml:space="preserve">Thailand Bangkok</w:t>
      </w:r>
      <w:r>
        <w:t xml:space="preserve"> </w:t>
      </w:r>
      <w:r>
        <w:t xml:space="preserve">metropolitan area. Our firm has been serving businesses in</w:t>
      </w:r>
      <w:r>
        <w:t xml:space="preserve"> </w:t>
      </w:r>
      <w:r>
        <w:t xml:space="preserve">Thailand Bangkok</w:t>
      </w:r>
      <w:r>
        <w:t xml:space="preserve"> </w:t>
      </w:r>
      <w:r>
        <w:t xml:space="preserve">for over fifteen years, and we understand the unique regulatory, tax, and financial reporting requirements that companies operating in this dynamic commercial hub must navigate. This</w:t>
      </w:r>
      <w:r>
        <w:t xml:space="preserve"> </w:t>
      </w:r>
      <w:r>
        <w:t xml:space="preserve">Quotation Estimate</w:t>
      </w:r>
      <w:r>
        <w:t xml:space="preserve"> </w:t>
      </w:r>
      <w:r>
        <w:t xml:space="preserve">outlines the full scope of</w:t>
      </w:r>
      <w:r>
        <w:t xml:space="preserve"> </w:t>
      </w:r>
      <w:r>
        <w:t xml:space="preserve">Accountant</w:t>
      </w:r>
      <w:r>
        <w:t xml:space="preserve"> </w:t>
      </w:r>
      <w:r>
        <w:t xml:space="preserve">engagement, associated fees, payment schedules, and all applicable terms governing the professional relationship.</w:t>
      </w:r>
    </w:p>
    <w:bookmarkEnd w:id="21"/>
    <w:bookmarkStart w:id="22" w:name="X75c4564ca7e1a940273b34075bfeb78f2543db6"/>
    <w:p>
      <w:pPr>
        <w:pStyle w:val="Heading2"/>
      </w:pPr>
      <w:r>
        <w:t xml:space="preserve">2. Scope of Accountant Services in Thailand Bangkok</w:t>
      </w:r>
    </w:p>
    <w:p>
      <w:pPr>
        <w:pStyle w:val="FirstParagraph"/>
      </w:pPr>
      <w:r>
        <w:t xml:space="preserve">The</w:t>
      </w:r>
      <w:r>
        <w:t xml:space="preserve"> </w:t>
      </w:r>
      <w:r>
        <w:t xml:space="preserve">Accountant</w:t>
      </w:r>
      <w:r>
        <w:t xml:space="preserve"> </w:t>
      </w:r>
      <w:r>
        <w:t xml:space="preserve">services detailed in this</w:t>
      </w:r>
      <w:r>
        <w:t xml:space="preserve"> </w:t>
      </w:r>
      <w:r>
        <w:t xml:space="preserve">Quotation Estimate</w:t>
      </w:r>
      <w:r>
        <w:t xml:space="preserve"> </w:t>
      </w:r>
      <w:r>
        <w:t xml:space="preserve">are specifically tailored to meet the operational and compliance needs of a foreign-invested trading company registered in</w:t>
      </w:r>
      <w:r>
        <w:t xml:space="preserve"> </w:t>
      </w:r>
      <w:r>
        <w:t xml:space="preserve">Thailand Bangkok</w:t>
      </w:r>
      <w:r>
        <w:t xml:space="preserve">. The scope encompasses the following deliverables:</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No.</w:t>
            </w:r>
          </w:p>
        </w:tc>
        <w:tc>
          <w:tcPr/>
          <w:p>
            <w:pPr>
              <w:pStyle w:val="Compact"/>
              <w:jc w:val="left"/>
            </w:pPr>
            <w:r>
              <w:t xml:space="preserve">Service Description</w:t>
            </w:r>
          </w:p>
        </w:tc>
        <w:tc>
          <w:tcPr/>
          <w:p>
            <w:pPr>
              <w:pStyle w:val="Compact"/>
              <w:jc w:val="left"/>
            </w:pPr>
            <w:r>
              <w:t xml:space="preserve">Frequency</w:t>
            </w:r>
          </w:p>
        </w:tc>
        <w:tc>
          <w:tcPr/>
          <w:p>
            <w:pPr>
              <w:pStyle w:val="Compact"/>
              <w:jc w:val="left"/>
            </w:pPr>
            <w:r>
              <w:t xml:space="preserve">Duration</w:t>
            </w:r>
          </w:p>
        </w:tc>
        <w:tc>
          <w:tcPr/>
          <w:p>
            <w:pPr>
              <w:pStyle w:val="Compact"/>
              <w:jc w:val="left"/>
            </w:pPr>
            <w:r>
              <w:t xml:space="preserve">Fee (THB)</w:t>
            </w:r>
          </w:p>
        </w:tc>
      </w:tr>
      <w:tr>
        <w:tc>
          <w:tcPr/>
          <w:p>
            <w:pPr>
              <w:pStyle w:val="Compact"/>
              <w:jc w:val="left"/>
            </w:pPr>
            <w:r>
              <w:t xml:space="preserve">1</w:t>
            </w:r>
          </w:p>
        </w:tc>
        <w:tc>
          <w:tcPr/>
          <w:p>
            <w:pPr>
              <w:pStyle w:val="Compact"/>
              <w:jc w:val="left"/>
            </w:pPr>
            <w:r>
              <w:t xml:space="preserve">Monthly bookkeeping and general ledger maintenance in accordance with Thai Accounting Standards (TAS) applicable in Thailand Bangkok</w:t>
            </w:r>
          </w:p>
        </w:tc>
        <w:tc>
          <w:tcPr/>
          <w:p>
            <w:pPr>
              <w:pStyle w:val="Compact"/>
              <w:jc w:val="left"/>
            </w:pPr>
            <w:r>
              <w:t xml:space="preserve">Monthly</w:t>
            </w:r>
          </w:p>
        </w:tc>
        <w:tc>
          <w:tcPr/>
          <w:p>
            <w:pPr>
              <w:pStyle w:val="Compact"/>
              <w:jc w:val="left"/>
            </w:pPr>
            <w:r>
              <w:t xml:space="preserve">12 months</w:t>
            </w:r>
          </w:p>
        </w:tc>
        <w:tc>
          <w:tcPr/>
          <w:p>
            <w:pPr>
              <w:pStyle w:val="Compact"/>
              <w:jc w:val="left"/>
            </w:pPr>
            <w:r>
              <w:t xml:space="preserve">15,000 / month</w:t>
            </w:r>
          </w:p>
        </w:tc>
      </w:tr>
      <w:tr>
        <w:tc>
          <w:tcPr/>
          <w:p>
            <w:pPr>
              <w:pStyle w:val="Compact"/>
              <w:jc w:val="left"/>
            </w:pPr>
            <w:r>
              <w:t xml:space="preserve">2</w:t>
            </w:r>
          </w:p>
        </w:tc>
        <w:tc>
          <w:tcPr/>
          <w:p>
            <w:pPr>
              <w:pStyle w:val="Compact"/>
              <w:jc w:val="left"/>
            </w:pPr>
            <w:r>
              <w:t xml:space="preserve">Preparation and filing of monthly VAT (Value Added Tax) returns with the Revenue Department, Bangkok Regional Office</w:t>
            </w:r>
          </w:p>
        </w:tc>
        <w:tc>
          <w:tcPr/>
          <w:p>
            <w:pPr>
              <w:pStyle w:val="Compact"/>
              <w:jc w:val="left"/>
            </w:pPr>
            <w:r>
              <w:t xml:space="preserve">Monthly</w:t>
            </w:r>
          </w:p>
        </w:tc>
        <w:tc>
          <w:tcPr/>
          <w:p>
            <w:pPr>
              <w:pStyle w:val="Compact"/>
              <w:jc w:val="left"/>
            </w:pPr>
            <w:r>
              <w:t xml:space="preserve">12 months</w:t>
            </w:r>
          </w:p>
        </w:tc>
        <w:tc>
          <w:tcPr/>
          <w:p>
            <w:pPr>
              <w:pStyle w:val="Compact"/>
              <w:jc w:val="left"/>
            </w:pPr>
            <w:r>
              <w:t xml:space="preserve">3,500 / month</w:t>
            </w:r>
          </w:p>
        </w:tc>
      </w:tr>
      <w:tr>
        <w:tc>
          <w:tcPr/>
          <w:p>
            <w:pPr>
              <w:pStyle w:val="Compact"/>
              <w:jc w:val="left"/>
            </w:pPr>
            <w:r>
              <w:t xml:space="preserve">3</w:t>
            </w:r>
          </w:p>
        </w:tc>
        <w:tc>
          <w:tcPr/>
          <w:p>
            <w:pPr>
              <w:pStyle w:val="Compact"/>
              <w:jc w:val="left"/>
            </w:pPr>
            <w:r>
              <w:t xml:space="preserve">Preparation of quarterly withholding tax filings (PND 50, 51, 53, 54) for all employees and contractors</w:t>
            </w:r>
          </w:p>
        </w:tc>
        <w:tc>
          <w:tcPr/>
          <w:p>
            <w:pPr>
              <w:pStyle w:val="Compact"/>
              <w:jc w:val="left"/>
            </w:pPr>
            <w:r>
              <w:t xml:space="preserve">Quarterly</w:t>
            </w:r>
          </w:p>
        </w:tc>
        <w:tc>
          <w:tcPr/>
          <w:p>
            <w:pPr>
              <w:pStyle w:val="Compact"/>
              <w:jc w:val="left"/>
            </w:pPr>
            <w:r>
              <w:t xml:space="preserve">4 quarters</w:t>
            </w:r>
          </w:p>
        </w:tc>
        <w:tc>
          <w:tcPr/>
          <w:p>
            <w:pPr>
              <w:pStyle w:val="Compact"/>
              <w:jc w:val="left"/>
            </w:pPr>
            <w:r>
              <w:t xml:space="preserve">5,000 / quarter</w:t>
            </w:r>
          </w:p>
        </w:tc>
      </w:tr>
      <w:tr>
        <w:tc>
          <w:tcPr/>
          <w:p>
            <w:pPr>
              <w:pStyle w:val="Compact"/>
              <w:jc w:val="left"/>
            </w:pPr>
            <w:r>
              <w:t xml:space="preserve">4</w:t>
            </w:r>
          </w:p>
        </w:tc>
        <w:tc>
          <w:tcPr/>
          <w:p>
            <w:pPr>
              <w:pStyle w:val="Compact"/>
              <w:jc w:val="left"/>
            </w:pPr>
            <w:r>
              <w:t xml:space="preserve">Annual financial statement preparation (Balance Sheet, Income Statement, Cash Flow) and audit support for Thailand Bangkok operations</w:t>
            </w:r>
          </w:p>
        </w:tc>
        <w:tc>
          <w:tcPr/>
          <w:p>
            <w:pPr>
              <w:pStyle w:val="Compact"/>
              <w:jc w:val="left"/>
            </w:pPr>
            <w:r>
              <w:t xml:space="preserve">Annually</w:t>
            </w:r>
          </w:p>
        </w:tc>
        <w:tc>
          <w:tcPr/>
          <w:p>
            <w:pPr>
              <w:pStyle w:val="Compact"/>
              <w:jc w:val="left"/>
            </w:pPr>
            <w:r>
              <w:t xml:space="preserve">1 cycle</w:t>
            </w:r>
          </w:p>
        </w:tc>
        <w:tc>
          <w:tcPr/>
          <w:p>
            <w:pPr>
              <w:pStyle w:val="Compact"/>
              <w:jc w:val="left"/>
            </w:pPr>
            <w:r>
              <w:t xml:space="preserve">45,000</w:t>
            </w:r>
          </w:p>
        </w:tc>
      </w:tr>
      <w:tr>
        <w:tc>
          <w:tcPr/>
          <w:p>
            <w:pPr>
              <w:pStyle w:val="Compact"/>
              <w:jc w:val="left"/>
            </w:pPr>
            <w:r>
              <w:t xml:space="preserve">5</w:t>
            </w:r>
          </w:p>
        </w:tc>
        <w:tc>
          <w:tcPr/>
          <w:p>
            <w:pPr>
              <w:pStyle w:val="Compact"/>
              <w:jc w:val="left"/>
            </w:pPr>
            <w:r>
              <w:t xml:space="preserve">Corporate income tax return (PND 50) preparation and filing with the Department of Business Development, Bangkok</w:t>
            </w:r>
          </w:p>
        </w:tc>
        <w:tc>
          <w:tcPr/>
          <w:p>
            <w:pPr>
              <w:pStyle w:val="Compact"/>
              <w:jc w:val="left"/>
            </w:pPr>
            <w:r>
              <w:t xml:space="preserve">Annually</w:t>
            </w:r>
          </w:p>
        </w:tc>
        <w:tc>
          <w:tcPr/>
          <w:p>
            <w:pPr>
              <w:pStyle w:val="Compact"/>
              <w:jc w:val="left"/>
            </w:pPr>
            <w:r>
              <w:t xml:space="preserve">1 cycle</w:t>
            </w:r>
          </w:p>
        </w:tc>
        <w:tc>
          <w:tcPr/>
          <w:p>
            <w:pPr>
              <w:pStyle w:val="Compact"/>
              <w:jc w:val="left"/>
            </w:pPr>
            <w:r>
              <w:t xml:space="preserve">25,000</w:t>
            </w:r>
          </w:p>
        </w:tc>
      </w:tr>
      <w:tr>
        <w:tc>
          <w:tcPr/>
          <w:p>
            <w:pPr>
              <w:pStyle w:val="Compact"/>
              <w:jc w:val="left"/>
            </w:pPr>
            <w:r>
              <w:t xml:space="preserve">6</w:t>
            </w:r>
          </w:p>
        </w:tc>
        <w:tc>
          <w:tcPr/>
          <w:p>
            <w:pPr>
              <w:pStyle w:val="Compact"/>
              <w:jc w:val="left"/>
            </w:pPr>
            <w:r>
              <w:t xml:space="preserve">Monthly payroll processing for up to 25 employees, including social security contributions and personal income tax withholding</w:t>
            </w:r>
          </w:p>
        </w:tc>
        <w:tc>
          <w:tcPr/>
          <w:p>
            <w:pPr>
              <w:pStyle w:val="Compact"/>
              <w:jc w:val="left"/>
            </w:pPr>
            <w:r>
              <w:t xml:space="preserve">Monthly</w:t>
            </w:r>
          </w:p>
        </w:tc>
        <w:tc>
          <w:tcPr/>
          <w:p>
            <w:pPr>
              <w:pStyle w:val="Compact"/>
              <w:jc w:val="left"/>
            </w:pPr>
            <w:r>
              <w:t xml:space="preserve">12 months</w:t>
            </w:r>
          </w:p>
        </w:tc>
        <w:tc>
          <w:tcPr/>
          <w:p>
            <w:pPr>
              <w:pStyle w:val="Compact"/>
              <w:jc w:val="left"/>
            </w:pPr>
            <w:r>
              <w:t xml:space="preserve">8,000 / month</w:t>
            </w:r>
          </w:p>
        </w:tc>
      </w:tr>
      <w:tr>
        <w:tc>
          <w:tcPr/>
          <w:p>
            <w:pPr>
              <w:pStyle w:val="Compact"/>
              <w:jc w:val="left"/>
            </w:pPr>
            <w:r>
              <w:t xml:space="preserve">7</w:t>
            </w:r>
          </w:p>
        </w:tc>
        <w:tc>
          <w:tcPr/>
          <w:p>
            <w:pPr>
              <w:pStyle w:val="Compact"/>
              <w:jc w:val="left"/>
            </w:pPr>
            <w:r>
              <w:t xml:space="preserve">Advisory on BOI (Board of Investment) privilege maintenance and compliance reporting for Thailand Bangkok-registered entity</w:t>
            </w:r>
          </w:p>
        </w:tc>
        <w:tc>
          <w:tcPr/>
          <w:p>
            <w:pPr>
              <w:pStyle w:val="Compact"/>
              <w:jc w:val="left"/>
            </w:pPr>
            <w:r>
              <w:t xml:space="preserve">As needed</w:t>
            </w:r>
          </w:p>
        </w:tc>
        <w:tc>
          <w:tcPr/>
          <w:p>
            <w:pPr>
              <w:pStyle w:val="Compact"/>
              <w:jc w:val="left"/>
            </w:pPr>
            <w:r>
              <w:t xml:space="preserve">12 months</w:t>
            </w:r>
          </w:p>
        </w:tc>
        <w:tc>
          <w:tcPr/>
          <w:p>
            <w:pPr>
              <w:pStyle w:val="Compact"/>
              <w:jc w:val="left"/>
            </w:pPr>
            <w:r>
              <w:t xml:space="preserve">12,000</w:t>
            </w:r>
          </w:p>
        </w:tc>
      </w:tr>
      <w:tr>
        <w:tc>
          <w:tcPr/>
          <w:p>
            <w:pPr>
              <w:pStyle w:val="Compact"/>
              <w:jc w:val="left"/>
            </w:pPr>
            <w:r>
              <w:t xml:space="preserve">8</w:t>
            </w:r>
          </w:p>
        </w:tc>
        <w:tc>
          <w:tcPr/>
          <w:p>
            <w:pPr>
              <w:pStyle w:val="Compact"/>
              <w:jc w:val="left"/>
            </w:pPr>
            <w:r>
              <w:t xml:space="preserve">Monthly management reporting package (P&amp;L, budget variance analysis, cash flow forecast) delivered to Bangkok office</w:t>
            </w:r>
          </w:p>
        </w:tc>
        <w:tc>
          <w:tcPr/>
          <w:p>
            <w:pPr>
              <w:pStyle w:val="Compact"/>
              <w:jc w:val="left"/>
            </w:pPr>
            <w:r>
              <w:t xml:space="preserve">Monthly</w:t>
            </w:r>
          </w:p>
        </w:tc>
        <w:tc>
          <w:tcPr/>
          <w:p>
            <w:pPr>
              <w:pStyle w:val="Compact"/>
              <w:jc w:val="left"/>
            </w:pPr>
            <w:r>
              <w:t xml:space="preserve">12 months</w:t>
            </w:r>
          </w:p>
        </w:tc>
        <w:tc>
          <w:tcPr/>
          <w:p>
            <w:pPr>
              <w:pStyle w:val="Compact"/>
              <w:jc w:val="left"/>
            </w:pPr>
            <w:r>
              <w:t xml:space="preserve">6,000 / month</w:t>
            </w:r>
          </w:p>
        </w:tc>
      </w:tr>
    </w:tbl>
    <w:bookmarkEnd w:id="22"/>
    <w:bookmarkStart w:id="23" w:name="fee-summary"/>
    <w:p>
      <w:pPr>
        <w:pStyle w:val="Heading2"/>
      </w:pPr>
      <w:r>
        <w:t xml:space="preserve">3. Fee Summary</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Category</w:t>
            </w:r>
          </w:p>
        </w:tc>
        <w:tc>
          <w:tcPr/>
          <w:p>
            <w:pPr>
              <w:pStyle w:val="Compact"/>
              <w:jc w:val="left"/>
            </w:pPr>
            <w:r>
              <w:t xml:space="preserve">Annual Amount (THB)</w:t>
            </w:r>
          </w:p>
        </w:tc>
      </w:tr>
      <w:tr>
        <w:tc>
          <w:tcPr/>
          <w:p>
            <w:pPr>
              <w:pStyle w:val="Compact"/>
              <w:jc w:val="left"/>
            </w:pPr>
            <w:r>
              <w:t xml:space="preserve">Monthly recurring services (Items 1, 2, 6, 8)</w:t>
            </w:r>
          </w:p>
        </w:tc>
        <w:tc>
          <w:tcPr/>
          <w:p>
            <w:pPr>
              <w:pStyle w:val="Compact"/>
              <w:jc w:val="left"/>
            </w:pPr>
            <w:r>
              <w:t xml:space="preserve">324,000</w:t>
            </w:r>
          </w:p>
        </w:tc>
      </w:tr>
      <w:tr>
        <w:tc>
          <w:tcPr/>
          <w:p>
            <w:pPr>
              <w:pStyle w:val="Compact"/>
              <w:jc w:val="left"/>
            </w:pPr>
            <w:r>
              <w:t xml:space="preserve">Quarterly services (Item 3)</w:t>
            </w:r>
          </w:p>
        </w:tc>
        <w:tc>
          <w:tcPr/>
          <w:p>
            <w:pPr>
              <w:pStyle w:val="Compact"/>
              <w:jc w:val="left"/>
            </w:pPr>
            <w:r>
              <w:t xml:space="preserve">20,000</w:t>
            </w:r>
          </w:p>
        </w:tc>
      </w:tr>
      <w:tr>
        <w:tc>
          <w:tcPr/>
          <w:p>
            <w:pPr>
              <w:pStyle w:val="Compact"/>
              <w:jc w:val="left"/>
            </w:pPr>
            <w:r>
              <w:t xml:space="preserve">Annual services (Items 4, 5, 7)</w:t>
            </w:r>
          </w:p>
        </w:tc>
        <w:tc>
          <w:tcPr/>
          <w:p>
            <w:pPr>
              <w:pStyle w:val="Compact"/>
              <w:jc w:val="left"/>
            </w:pPr>
            <w:r>
              <w:t xml:space="preserve">82,000</w:t>
            </w:r>
          </w:p>
        </w:tc>
      </w:tr>
      <w:tr>
        <w:tc>
          <w:tcPr/>
          <w:p>
            <w:pPr>
              <w:pStyle w:val="Compact"/>
              <w:jc w:val="left"/>
            </w:pPr>
            <w:r>
              <w:rPr>
                <w:bCs/>
                <w:b/>
              </w:rPr>
              <w:t xml:space="preserve">Total Annual Fee (before VAT)</w:t>
            </w:r>
          </w:p>
        </w:tc>
        <w:tc>
          <w:tcPr/>
          <w:p>
            <w:pPr>
              <w:pStyle w:val="Compact"/>
              <w:jc w:val="left"/>
            </w:pPr>
            <w:r>
              <w:rPr>
                <w:bCs/>
                <w:b/>
              </w:rPr>
              <w:t xml:space="preserve">426,000</w:t>
            </w:r>
          </w:p>
        </w:tc>
      </w:tr>
      <w:tr>
        <w:tc>
          <w:tcPr/>
          <w:p>
            <w:pPr>
              <w:pStyle w:val="Compact"/>
              <w:jc w:val="left"/>
            </w:pPr>
            <w:r>
              <w:t xml:space="preserve">VAT (7%)</w:t>
            </w:r>
          </w:p>
        </w:tc>
        <w:tc>
          <w:tcPr/>
          <w:p>
            <w:pPr>
              <w:pStyle w:val="Compact"/>
              <w:jc w:val="left"/>
            </w:pPr>
            <w:r>
              <w:t xml:space="preserve">29,820</w:t>
            </w:r>
          </w:p>
        </w:tc>
      </w:tr>
      <w:tr>
        <w:tc>
          <w:tcPr/>
          <w:p>
            <w:pPr>
              <w:pStyle w:val="Compact"/>
              <w:jc w:val="left"/>
            </w:pPr>
            <w:r>
              <w:rPr>
                <w:bCs/>
                <w:b/>
              </w:rPr>
              <w:t xml:space="preserve">Grand Total (THB)</w:t>
            </w:r>
          </w:p>
        </w:tc>
        <w:tc>
          <w:tcPr/>
          <w:p>
            <w:pPr>
              <w:pStyle w:val="Compact"/>
              <w:jc w:val="left"/>
            </w:pPr>
            <w:r>
              <w:rPr>
                <w:bCs/>
                <w:b/>
              </w:rPr>
              <w:t xml:space="preserve">455,820</w:t>
            </w:r>
          </w:p>
        </w:tc>
      </w:tr>
    </w:tbl>
    <w:bookmarkEnd w:id="23"/>
    <w:bookmarkStart w:id="24" w:name="payment-terms"/>
    <w:p>
      <w:pPr>
        <w:pStyle w:val="Heading2"/>
      </w:pPr>
      <w:r>
        <w:t xml:space="preserve">4. Payment Terms</w:t>
      </w:r>
    </w:p>
    <w:p>
      <w:pPr>
        <w:pStyle w:val="FirstParagraph"/>
      </w:pPr>
      <w:r>
        <w:t xml:space="preserve">Payment for the</w:t>
      </w:r>
      <w:r>
        <w:t xml:space="preserve"> </w:t>
      </w:r>
      <w:r>
        <w:t xml:space="preserve">Accountant</w:t>
      </w:r>
      <w:r>
        <w:t xml:space="preserve"> </w:t>
      </w:r>
      <w:r>
        <w:t xml:space="preserve">services outlined in this</w:t>
      </w:r>
      <w:r>
        <w:t xml:space="preserve"> </w:t>
      </w:r>
      <w:r>
        <w:t xml:space="preserve">Quotation Estimate</w:t>
      </w:r>
      <w:r>
        <w:t xml:space="preserve"> </w:t>
      </w:r>
      <w:r>
        <w:t xml:space="preserve">shall be made in Thai Baht (THB) via bank transfer to the firm's account at Kasikornbank, Bangkok branch. Invoices will be issued on the 5th of each month for the preceding month's services. Payment is due within fifteen (15) calendar days of invoice date. A late payment surcharge of 1.5% per month will apply to outstanding balances.</w:t>
      </w:r>
    </w:p>
    <w:bookmarkEnd w:id="24"/>
    <w:bookmarkStart w:id="25" w:name="terms-and-conditions"/>
    <w:p>
      <w:pPr>
        <w:pStyle w:val="Heading2"/>
      </w:pPr>
      <w:r>
        <w:t xml:space="preserve">5. Terms and Conditions</w:t>
      </w:r>
    </w:p>
    <w:p>
      <w:pPr>
        <w:numPr>
          <w:ilvl w:val="0"/>
          <w:numId w:val="1001"/>
        </w:numPr>
        <w:pStyle w:val="Compact"/>
      </w:pPr>
      <w:r>
        <w:t xml:space="preserve">This</w:t>
      </w:r>
      <w:r>
        <w:t xml:space="preserve"> </w:t>
      </w:r>
      <w:r>
        <w:t xml:space="preserve">Quotation Estimate</w:t>
      </w:r>
      <w:r>
        <w:t xml:space="preserve"> </w:t>
      </w:r>
      <w:r>
        <w:t xml:space="preserve">is valid for thirty (30) days from the date of issue. After the expiry date, fees may be subject to revision based on prevailing market conditions in</w:t>
      </w:r>
      <w:r>
        <w:t xml:space="preserve"> </w:t>
      </w:r>
      <w:r>
        <w:t xml:space="preserve">Thailand Bangkok</w:t>
      </w:r>
      <w:r>
        <w:t xml:space="preserve">.</w:t>
      </w:r>
    </w:p>
    <w:p>
      <w:pPr>
        <w:numPr>
          <w:ilvl w:val="0"/>
          <w:numId w:val="1001"/>
        </w:numPr>
        <w:pStyle w:val="Compact"/>
      </w:pPr>
      <w:r>
        <w:t xml:space="preserve">The</w:t>
      </w:r>
      <w:r>
        <w:t xml:space="preserve"> </w:t>
      </w:r>
      <w:r>
        <w:t xml:space="preserve">Accountant</w:t>
      </w:r>
      <w:r>
        <w:t xml:space="preserve"> </w:t>
      </w:r>
      <w:r>
        <w:t xml:space="preserve">engagement is governed by the Thai Professional Accountants Act B.E. 2547 (2004) and the Code of Ethics of the Institute of Certified Public Accountants of Thailand (ICPAI).</w:t>
      </w:r>
    </w:p>
    <w:p>
      <w:pPr>
        <w:numPr>
          <w:ilvl w:val="0"/>
          <w:numId w:val="1001"/>
        </w:numPr>
        <w:pStyle w:val="Compact"/>
      </w:pPr>
      <w:r>
        <w:t xml:space="preserve">All work product, including financial statements, tax filings, and management reports, shall be prepared in accordance with Thai Accounting Standards and the Revenue Code of Thailand as applicable to entities operating in</w:t>
      </w:r>
      <w:r>
        <w:t xml:space="preserve"> </w:t>
      </w:r>
      <w:r>
        <w:t xml:space="preserve">Thailand Bangkok</w:t>
      </w:r>
      <w:r>
        <w:t xml:space="preserve">.</w:t>
      </w:r>
    </w:p>
    <w:p>
      <w:pPr>
        <w:numPr>
          <w:ilvl w:val="0"/>
          <w:numId w:val="1001"/>
        </w:numPr>
        <w:pStyle w:val="Compact"/>
      </w:pPr>
      <w:r>
        <w:t xml:space="preserve">The client agrees to provide timely access to all source documents, bank statements, and supporting records necessary for the</w:t>
      </w:r>
      <w:r>
        <w:t xml:space="preserve"> </w:t>
      </w:r>
      <w:r>
        <w:t xml:space="preserve">Accountant</w:t>
      </w:r>
      <w:r>
        <w:t xml:space="preserve"> </w:t>
      </w:r>
      <w:r>
        <w:t xml:space="preserve">to perform the services described in this</w:t>
      </w:r>
      <w:r>
        <w:t xml:space="preserve"> </w:t>
      </w:r>
      <w:r>
        <w:t xml:space="preserve">Quotation Estimate</w:t>
      </w:r>
      <w:r>
        <w:t xml:space="preserve">.</w:t>
      </w:r>
    </w:p>
    <w:p>
      <w:pPr>
        <w:numPr>
          <w:ilvl w:val="0"/>
          <w:numId w:val="1001"/>
        </w:numPr>
        <w:pStyle w:val="Compact"/>
      </w:pPr>
      <w:r>
        <w:t xml:space="preserve">Confidentiality: All financial information, trade secrets, and proprietary data shared during the engagement shall be treated as strictly confidential and shall not be disclosed to any third party without written consent, in compliance with the Personal Data Protection Act B.E. 2562 (2019) of Thailand.</w:t>
      </w:r>
    </w:p>
    <w:p>
      <w:pPr>
        <w:numPr>
          <w:ilvl w:val="0"/>
          <w:numId w:val="1001"/>
        </w:numPr>
        <w:pStyle w:val="Compact"/>
      </w:pPr>
      <w:r>
        <w:t xml:space="preserve">Either party may terminate this engagement with thirty (30) days' written notice. Upon termination, fees for services rendered up to the termination date shall be payable in full.</w:t>
      </w:r>
    </w:p>
    <w:p>
      <w:pPr>
        <w:numPr>
          <w:ilvl w:val="0"/>
          <w:numId w:val="1001"/>
        </w:numPr>
        <w:pStyle w:val="Compact"/>
      </w:pPr>
      <w:r>
        <w:t xml:space="preserve">This</w:t>
      </w:r>
      <w:r>
        <w:t xml:space="preserve"> </w:t>
      </w:r>
      <w:r>
        <w:t xml:space="preserve">Quotation Estimate</w:t>
      </w:r>
      <w:r>
        <w:t xml:space="preserve"> </w:t>
      </w:r>
      <w:r>
        <w:t xml:space="preserve">does not constitute a guarantee of any specific tax outcome. The</w:t>
      </w:r>
      <w:r>
        <w:t xml:space="preserve"> </w:t>
      </w:r>
      <w:r>
        <w:t xml:space="preserve">Accountant</w:t>
      </w:r>
      <w:r>
        <w:t xml:space="preserve"> </w:t>
      </w:r>
      <w:r>
        <w:t xml:space="preserve">shall exercise professional judgment in accordance with applicable Thai tax law as enforced by the Revenue Department in</w:t>
      </w:r>
      <w:r>
        <w:t xml:space="preserve"> </w:t>
      </w:r>
      <w:r>
        <w:t xml:space="preserve">Thailand Bangkok</w:t>
      </w:r>
      <w:r>
        <w:t xml:space="preserve">.</w:t>
      </w:r>
    </w:p>
    <w:p>
      <w:pPr>
        <w:numPr>
          <w:ilvl w:val="0"/>
          <w:numId w:val="1001"/>
        </w:numPr>
        <w:pStyle w:val="Compact"/>
      </w:pPr>
      <w:r>
        <w:t xml:space="preserve">Any disputes arising from this engagement shall be resolved through the Bangkok Arbitration Institute in accordance with its rules of procedure.</w:t>
      </w:r>
    </w:p>
    <w:p>
      <w:pPr>
        <w:pStyle w:val="FirstParagraph"/>
      </w:pPr>
      <w:r>
        <w:rPr>
          <w:bCs/>
          <w:b/>
        </w:rPr>
        <w:t xml:space="preserve">Note:</w:t>
      </w:r>
      <w:r>
        <w:t xml:space="preserve"> </w:t>
      </w:r>
      <w:r>
        <w:t xml:space="preserve">This Quotation Estimate covers standard</w:t>
      </w:r>
      <w:r>
        <w:t xml:space="preserve"> </w:t>
      </w:r>
      <w:r>
        <w:t xml:space="preserve">Accountant</w:t>
      </w:r>
      <w:r>
        <w:t xml:space="preserve"> </w:t>
      </w:r>
      <w:r>
        <w:t xml:space="preserve">services for a trading company with up to 25 employees in</w:t>
      </w:r>
      <w:r>
        <w:t xml:space="preserve"> </w:t>
      </w:r>
      <w:r>
        <w:t xml:space="preserve">Thailand Bangkok</w:t>
      </w:r>
      <w:r>
        <w:t xml:space="preserve">. Additional services such as transfer pricing documentation, foreign exchange compliance reporting, or special tax audits will be quoted separately upon request.</w:t>
      </w:r>
    </w:p>
    <w:bookmarkEnd w:id="25"/>
    <w:bookmarkStart w:id="26" w:name="acceptance"/>
    <w:p>
      <w:pPr>
        <w:pStyle w:val="Heading2"/>
      </w:pPr>
      <w:r>
        <w:t xml:space="preserve">6. Acceptance</w:t>
      </w:r>
    </w:p>
    <w:p>
      <w:pPr>
        <w:pStyle w:val="FirstParagraph"/>
      </w:pPr>
      <w:r>
        <w:t xml:space="preserve">By signing below, the client acknowledges receipt of this</w:t>
      </w:r>
      <w:r>
        <w:t xml:space="preserve"> </w:t>
      </w:r>
      <w:r>
        <w:t xml:space="preserve">Quotation Estimate</w:t>
      </w:r>
      <w:r>
        <w:t xml:space="preserve"> </w:t>
      </w:r>
      <w:r>
        <w:t xml:space="preserve">and agrees to the terms, conditions, and fee structure for the</w:t>
      </w:r>
      <w:r>
        <w:t xml:space="preserve"> </w:t>
      </w:r>
      <w:r>
        <w:t xml:space="preserve">Accountant</w:t>
      </w:r>
      <w:r>
        <w:t xml:space="preserve"> </w:t>
      </w:r>
      <w:r>
        <w:t xml:space="preserve">services to be provided in</w:t>
      </w:r>
      <w:r>
        <w:t xml:space="preserve"> </w:t>
      </w:r>
      <w:r>
        <w:t xml:space="preserve">Thailand Bangkok</w:t>
      </w:r>
      <w:r>
        <w:t xml:space="preserve"> </w:t>
      </w:r>
      <w:r>
        <w:t xml:space="preserve">as described herein.</w:t>
      </w:r>
    </w:p>
    <w:p>
      <w:pPr>
        <w:pStyle w:val="BodyText"/>
      </w:pPr>
      <w:r>
        <w:rPr>
          <w:bCs/>
          <w:b/>
        </w:rPr>
        <w:t xml:space="preserve">For: Siam Pacific Accounting &amp; Advisory Co., Ltd.</w:t>
      </w:r>
      <w:r>
        <w:br/>
      </w:r>
      <w:r>
        <w:t xml:space="preserve">Authorized Signatory / Lead Accountant</w:t>
      </w:r>
      <w:r>
        <w:br/>
      </w:r>
      <w:r>
        <w:t xml:space="preserve">Name: _________________________</w:t>
      </w:r>
      <w:r>
        <w:br/>
      </w:r>
      <w:r>
        <w:t xml:space="preserve">Date: _________________________</w:t>
      </w:r>
    </w:p>
    <w:p>
      <w:pPr>
        <w:pStyle w:val="BodyText"/>
      </w:pPr>
      <w:r>
        <w:rPr>
          <w:bCs/>
          <w:b/>
        </w:rPr>
        <w:t xml:space="preserve">For: Anderson Trading (Thailand) Co., Ltd.</w:t>
      </w:r>
      <w:r>
        <w:br/>
      </w:r>
      <w:r>
        <w:t xml:space="preserve">Authorized Representative</w:t>
      </w:r>
      <w:r>
        <w:br/>
      </w:r>
      <w:r>
        <w:t xml:space="preserve">Name: _________________________</w:t>
      </w:r>
      <w:r>
        <w:br/>
      </w:r>
      <w:r>
        <w:t xml:space="preserve">Date: _________________________</w:t>
      </w:r>
    </w:p>
    <w:p>
      <w:pPr>
        <w:pStyle w:val="BodyText"/>
      </w:pPr>
      <w:r>
        <w:t xml:space="preserve">This Quotation Estimate was prepared exclusively for the client named above and is not transferable. © 2025 Siam Pacific Accounting &amp; Advisory Co., Ltd. – Bangkok, Thailand. All rights reserved.</w:t>
      </w:r>
    </w:p>
    <w:p>
      <w:pPr>
        <w:pStyle w:val="BodyText"/>
      </w:pPr>
      <w:r>
        <w:t xml:space="preserve">Document Reference: QTE-2025-BKK-0472 | Page 1 of 1</w:t>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Accountant Services - Thailand Bangkok</dc:title>
  <dc:creator/>
  <dc:language>en</dc:language>
  <cp:keywords/>
  <dcterms:created xsi:type="dcterms:W3CDTF">2026-10-10T06:23:19Z</dcterms:created>
  <dcterms:modified xsi:type="dcterms:W3CDTF">2026-10-10T06:23:19Z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