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4d296750d24704fb887fc634e7ff293c5f7f84f"/>
    <w:p>
      <w:pPr>
        <w:pStyle w:val="Heading1"/>
      </w:pPr>
      <w:r>
        <w:t xml:space="preserve">Meridian Financial &amp; Accounting Services LLC</w:t>
      </w:r>
    </w:p>
    <w:p>
      <w:pPr>
        <w:pStyle w:val="FirstParagraph"/>
      </w:pPr>
      <w:r>
        <w:t xml:space="preserve">Office 1204, Level 12, Burj Daman Tower, Downtown Dubai</w:t>
      </w:r>
    </w:p>
    <w:p>
      <w:pPr>
        <w:pStyle w:val="BodyText"/>
      </w:pPr>
      <w:r>
        <w:t xml:space="preserve">United Arab Emirates, Dubai, P.O. Box 123456</w:t>
      </w:r>
    </w:p>
    <w:p>
      <w:pPr>
        <w:pStyle w:val="BodyText"/>
      </w:pPr>
      <w:r>
        <w:t xml:space="preserve">Tel: +971 4 555 0123 | Email: quotations@meridianfs.ae</w:t>
      </w:r>
    </w:p>
    <w:p>
      <w:pPr>
        <w:pStyle w:val="BodyText"/>
      </w:pPr>
      <w:r>
        <w:t xml:space="preserve">Trade License No: 1045678 | TRN: 100456789012345</w:t>
      </w:r>
    </w:p>
    <w:bookmarkEnd w:id="20"/>
    <w:p>
      <w:pPr>
        <w:pStyle w:val="BodyText"/>
      </w:pPr>
      <w:r>
        <w:t xml:space="preserve">Date: 15 June 2025</w:t>
      </w:r>
    </w:p>
    <w:p>
      <w:pPr>
        <w:pStyle w:val="BodyText"/>
      </w:pPr>
      <w:r>
        <w:t xml:space="preserve">Ref: QTE-2025-0615-0042</w:t>
      </w:r>
    </w:p>
    <w:bookmarkStart w:id="21" w:name="quotation-estimate"/>
    <w:p>
      <w:pPr>
        <w:pStyle w:val="Heading2"/>
      </w:pPr>
      <w:r>
        <w:t xml:space="preserve">QUOTATION ESTIMATE</w:t>
      </w:r>
    </w:p>
    <w:p>
      <w:pPr>
        <w:pStyle w:val="FirstParagraph"/>
      </w:pPr>
      <w:r>
        <w:t xml:space="preserve">Professional Accountant Services — United Arab Emirates Dubai</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Al Noor Trading Est. (Client Name)</w:t>
            </w:r>
          </w:p>
        </w:tc>
      </w:tr>
      <w:tr>
        <w:tc>
          <w:tcPr/>
          <w:p>
            <w:pPr>
              <w:pStyle w:val="Compact"/>
              <w:jc w:val="left"/>
            </w:pPr>
            <w:r>
              <w:t xml:space="preserve">Client Address:</w:t>
            </w:r>
          </w:p>
        </w:tc>
        <w:tc>
          <w:tcPr/>
          <w:p>
            <w:pPr>
              <w:pStyle w:val="Compact"/>
              <w:jc w:val="left"/>
            </w:pPr>
            <w:r>
              <w:t xml:space="preserve">Warehouse 7, Industrial Area 1, Dubai, United Arab Emirates</w:t>
            </w:r>
          </w:p>
        </w:tc>
      </w:tr>
      <w:tr>
        <w:tc>
          <w:tcPr/>
          <w:p>
            <w:pPr>
              <w:pStyle w:val="Compact"/>
              <w:jc w:val="left"/>
            </w:pPr>
            <w:r>
              <w:t xml:space="preserve">Client Contact:</w:t>
            </w:r>
          </w:p>
        </w:tc>
        <w:tc>
          <w:tcPr/>
          <w:p>
            <w:pPr>
              <w:pStyle w:val="Compact"/>
              <w:jc w:val="left"/>
            </w:pPr>
            <w:r>
              <w:t xml:space="preserve">Mr. Khalid Al Mansoori — +971 50 123 4567 — khalid@alnoortrading.ae</w:t>
            </w:r>
          </w:p>
        </w:tc>
      </w:tr>
      <w:tr>
        <w:tc>
          <w:tcPr/>
          <w:p>
            <w:pPr>
              <w:pStyle w:val="Compact"/>
              <w:jc w:val="left"/>
            </w:pPr>
            <w:r>
              <w:t xml:space="preserve">Quotation Estimate No.:</w:t>
            </w:r>
          </w:p>
        </w:tc>
        <w:tc>
          <w:tcPr/>
          <w:p>
            <w:pPr>
              <w:pStyle w:val="Compact"/>
              <w:jc w:val="left"/>
            </w:pPr>
            <w:r>
              <w:t xml:space="preserve">QTE-2025-0615-0042</w:t>
            </w:r>
          </w:p>
        </w:tc>
      </w:tr>
      <w:tr>
        <w:tc>
          <w:tcPr/>
          <w:p>
            <w:pPr>
              <w:pStyle w:val="Compact"/>
              <w:jc w:val="left"/>
            </w:pPr>
            <w:r>
              <w:t xml:space="preserve">Validity Period:</w:t>
            </w:r>
          </w:p>
        </w:tc>
        <w:tc>
          <w:tcPr/>
          <w:p>
            <w:pPr>
              <w:pStyle w:val="Compact"/>
              <w:jc w:val="left"/>
            </w:pPr>
            <w:r>
              <w:t xml:space="preserve">30 calendar days from the date of issue (expires 15 July 2025)</w:t>
            </w:r>
          </w:p>
        </w:tc>
      </w:tr>
      <w:tr>
        <w:tc>
          <w:tcPr/>
          <w:p>
            <w:pPr>
              <w:pStyle w:val="Compact"/>
              <w:jc w:val="left"/>
            </w:pPr>
            <w:r>
              <w:t xml:space="preserve">Currency:</w:t>
            </w:r>
          </w:p>
        </w:tc>
        <w:tc>
          <w:tcPr/>
          <w:p>
            <w:pPr>
              <w:pStyle w:val="Compact"/>
              <w:jc w:val="left"/>
            </w:pPr>
            <w:r>
              <w:t xml:space="preserve">United Arab Emirates Dirham (AED)</w:t>
            </w:r>
          </w:p>
        </w:tc>
      </w:tr>
    </w:tbl>
    <w:bookmarkStart w:id="22" w:name="X0b86d74599054597475b606940cf6e530fa6a8a"/>
    <w:p>
      <w:pPr>
        <w:pStyle w:val="Heading3"/>
      </w:pPr>
      <w:r>
        <w:t xml:space="preserve">1. Scope of Services — Accountant Engagement in United Arab Emirates Dubai</w:t>
      </w:r>
    </w:p>
    <w:p>
      <w:pPr>
        <w:pStyle w:val="FirstParagraph"/>
      </w:pPr>
      <w:r>
        <w:t xml:space="preserve">This</w:t>
      </w:r>
      <w:r>
        <w:t xml:space="preserve"> </w:t>
      </w:r>
      <w:r>
        <w:t xml:space="preserve">Quotation Estimate</w:t>
      </w:r>
      <w:r>
        <w:t xml:space="preserve"> </w:t>
      </w:r>
      <w:r>
        <w:t xml:space="preserve">is issued by Meridian Financial &amp; Accounting Services LLC to provide a comprehensive and transparent breakdown of professional</w:t>
      </w:r>
      <w:r>
        <w:t xml:space="preserve"> </w:t>
      </w:r>
      <w:r>
        <w:t xml:space="preserve">Accountant</w:t>
      </w:r>
      <w:r>
        <w:t xml:space="preserve"> </w:t>
      </w:r>
      <w:r>
        <w:t xml:space="preserve">services to be rendered to the above-named client within the jurisdiction of</w:t>
      </w:r>
      <w:r>
        <w:t xml:space="preserve"> </w:t>
      </w:r>
      <w:r>
        <w:t xml:space="preserve">United Arab Emirates Dubai</w:t>
      </w:r>
      <w:r>
        <w:t xml:space="preserve">. The engagement is designed to ensure full compliance with the Federal Tax Authority (FTA) regulations, the Dubai Financial Services Authority (DFSA) guidelines where applicable, and all relevant commercial and corporate accounting standards mandated under UAE law.</w:t>
      </w:r>
    </w:p>
    <w:p>
      <w:pPr>
        <w:pStyle w:val="BodyText"/>
      </w:pPr>
      <w:r>
        <w:t xml:space="preserve">Our designated</w:t>
      </w:r>
      <w:r>
        <w:t xml:space="preserve"> </w:t>
      </w:r>
      <w:r>
        <w:t xml:space="preserve">Accountant</w:t>
      </w:r>
      <w:r>
        <w:t xml:space="preserve"> </w:t>
      </w:r>
      <w:r>
        <w:t xml:space="preserve">team, comprising certified public accountants (CPA) and chartered accountants (CA) with a minimum of eight years of experience in the Dubai market, will manage the following service deliverables on behalf of the client for the fiscal year 2025/2026.</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Monthly bookkeeping, journal entries, and general ledger maintenance by a dedicated Accountant</w:t>
            </w:r>
          </w:p>
        </w:tc>
        <w:tc>
          <w:tcPr/>
          <w:p>
            <w:pPr>
              <w:pStyle w:val="Compact"/>
              <w:jc w:val="left"/>
            </w:pPr>
            <w:r>
              <w:t xml:space="preserve">Monthly (12)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Preparation and filing of monthly VAT returns with the Federal Tax Authority, Dubai</w:t>
            </w:r>
          </w:p>
        </w:tc>
        <w:tc>
          <w:tcPr/>
          <w:p>
            <w:pPr>
              <w:pStyle w:val="Compact"/>
              <w:jc w:val="left"/>
            </w:pPr>
            <w:r>
              <w:t xml:space="preserve">Monthly (12)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Annual corporate tax return preparation and submission in compliance with UAE Corporate Tax Law (Federal Decree-Law No. 47 of 2022)</w:t>
            </w:r>
          </w:p>
        </w:tc>
        <w:tc>
          <w:tcPr/>
          <w:p>
            <w:pPr>
              <w:pStyle w:val="Compact"/>
              <w:jc w:val="left"/>
            </w:pPr>
            <w:r>
              <w:t xml:space="preserve">Annual (1)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Monthly payroll processing, WPS (Wage Protection System) compliance, and end-of-service benefit calculations for up to 50 employees</w:t>
            </w:r>
          </w:p>
        </w:tc>
        <w:tc>
          <w:tcPr/>
          <w:p>
            <w:pPr>
              <w:pStyle w:val="Compact"/>
              <w:jc w:val="left"/>
            </w:pPr>
            <w:r>
              <w:t xml:space="preserve">Monthly (12)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Quarterly financial statements (P&amp;L, Balance Sheet, Cash Flow) and management reporting</w:t>
            </w:r>
          </w:p>
        </w:tc>
        <w:tc>
          <w:tcPr/>
          <w:p>
            <w:pPr>
              <w:pStyle w:val="Compact"/>
              <w:jc w:val="left"/>
            </w:pPr>
            <w:r>
              <w:t xml:space="preserve">Quarterly (4)</w:t>
            </w:r>
          </w:p>
        </w:tc>
        <w:tc>
          <w:tcPr/>
          <w:p>
            <w:pPr>
              <w:pStyle w:val="Compact"/>
              <w:jc w:val="left"/>
            </w:pPr>
            <w:r>
              <w:t xml:space="preserve">4,000.00</w:t>
            </w:r>
          </w:p>
        </w:tc>
        <w:tc>
          <w:tcPr/>
          <w:p>
            <w:pPr>
              <w:pStyle w:val="Compact"/>
              <w:jc w:val="left"/>
            </w:pPr>
            <w:r>
              <w:t xml:space="preserve">16,000.00</w:t>
            </w:r>
          </w:p>
        </w:tc>
      </w:tr>
      <w:tr>
        <w:tc>
          <w:tcPr/>
          <w:p>
            <w:pPr>
              <w:pStyle w:val="Compact"/>
              <w:jc w:val="left"/>
            </w:pPr>
            <w:r>
              <w:t xml:space="preserve">6</w:t>
            </w:r>
          </w:p>
        </w:tc>
        <w:tc>
          <w:tcPr/>
          <w:p>
            <w:pPr>
              <w:pStyle w:val="Compact"/>
              <w:jc w:val="left"/>
            </w:pPr>
            <w:r>
              <w:t xml:space="preserve">Annual statutory audit support and coordination with the external audit firm appointed by the client</w:t>
            </w:r>
          </w:p>
        </w:tc>
        <w:tc>
          <w:tcPr/>
          <w:p>
            <w:pPr>
              <w:pStyle w:val="Compact"/>
              <w:jc w:val="left"/>
            </w:pPr>
            <w:r>
              <w:t xml:space="preserve">Annual (1)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Ad-hoc tax advisory, FTA correspondence handling, and regulatory compliance reviews specific to Dubai mainland and free zone entities</w:t>
            </w:r>
          </w:p>
        </w:tc>
        <w:tc>
          <w:tcPr/>
          <w:p>
            <w:pPr>
              <w:pStyle w:val="Compact"/>
              <w:jc w:val="left"/>
            </w:pPr>
            <w:r>
              <w:t xml:space="preserve">As required</w:t>
            </w:r>
          </w:p>
        </w:tc>
        <w:tc>
          <w:tcPr/>
          <w:p>
            <w:pPr>
              <w:pStyle w:val="Compact"/>
              <w:jc w:val="left"/>
            </w:pPr>
            <w:r>
              <w:t xml:space="preserve">450.00/hr</w:t>
            </w:r>
          </w:p>
        </w:tc>
        <w:tc>
          <w:tcPr/>
          <w:p>
            <w:pPr>
              <w:pStyle w:val="Compact"/>
              <w:jc w:val="left"/>
            </w:pPr>
            <w:r>
              <w:t xml:space="preserve">4,500.00 (est.)</w:t>
            </w:r>
          </w:p>
        </w:tc>
      </w:tr>
      <w:tr>
        <w:tc>
          <w:tcPr/>
          <w:p>
            <w:pPr>
              <w:pStyle w:val="Compact"/>
              <w:jc w:val="left"/>
            </w:pPr>
            <w:r>
              <w:t xml:space="preserve">8</w:t>
            </w:r>
          </w:p>
        </w:tc>
        <w:tc>
          <w:tcPr/>
          <w:p>
            <w:pPr>
              <w:pStyle w:val="Compact"/>
              <w:jc w:val="left"/>
            </w:pPr>
            <w:r>
              <w:t xml:space="preserve">Annual accounting software subscription (Xero / QuickBooks) and cloud data hosting for the client entity</w:t>
            </w:r>
          </w:p>
        </w:tc>
        <w:tc>
          <w:tcPr/>
          <w:p>
            <w:pPr>
              <w:pStyle w:val="Compact"/>
              <w:jc w:val="left"/>
            </w:pPr>
            <w:r>
              <w:t xml:space="preserve">Annual (1)</w:t>
            </w:r>
          </w:p>
        </w:tc>
        <w:tc>
          <w:tcPr/>
          <w:p>
            <w:pPr>
              <w:pStyle w:val="Compact"/>
              <w:jc w:val="left"/>
            </w:pPr>
            <w:r>
              <w:t xml:space="preserve">3,600.00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128,600.00</w:t>
            </w:r>
          </w:p>
        </w:tc>
      </w:tr>
      <w:tr>
        <w:tc>
          <w:tcPr/>
          <w:p>
            <w:pPr>
              <w:pStyle w:val="Compact"/>
              <w:jc w:val="left"/>
            </w:pPr>
            <w:r>
              <w:t xml:space="preserve">VAT @ 5% (AED)</w:t>
            </w:r>
          </w:p>
        </w:tc>
        <w:tc>
          <w:tcPr/>
          <w:p>
            <w:pPr>
              <w:pStyle w:val="Compact"/>
              <w:jc w:val="left"/>
            </w:pPr>
            <w:r>
              <w:t xml:space="preserve">6,430.00</w:t>
            </w:r>
          </w:p>
        </w:tc>
      </w:tr>
      <w:tr>
        <w:tc>
          <w:tcPr/>
          <w:p>
            <w:pPr>
              <w:pStyle w:val="Compact"/>
              <w:jc w:val="left"/>
            </w:pPr>
            <w:r>
              <w:t xml:space="preserve">Grand Total (AED)</w:t>
            </w:r>
          </w:p>
        </w:tc>
        <w:tc>
          <w:tcPr/>
          <w:p>
            <w:pPr>
              <w:pStyle w:val="Compact"/>
              <w:jc w:val="left"/>
            </w:pPr>
            <w:r>
              <w:t xml:space="preserve">135,030.00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service inclusions are subject to revision without prior notice.</w:t>
      </w:r>
    </w:p>
    <w:p>
      <w:pPr>
        <w:numPr>
          <w:ilvl w:val="0"/>
          <w:numId w:val="1001"/>
        </w:numPr>
        <w:pStyle w:val="Compact"/>
      </w:pPr>
      <w:r>
        <w:t xml:space="preserve">Payment terms: 50% advance payment upon acceptance of this Quotation Estimate, with the remaining 50% payable in equal monthly instalments over the engagement period. All payments shall be made in AED via bank transfer to the account details provided in the accompanying invoice.</w:t>
      </w:r>
    </w:p>
    <w:p>
      <w:pPr>
        <w:numPr>
          <w:ilvl w:val="0"/>
          <w:numId w:val="1001"/>
        </w:numPr>
        <w:pStyle w:val="Compact"/>
      </w:pPr>
      <w:r>
        <w:t xml:space="preserve">The designated</w:t>
      </w:r>
      <w:r>
        <w:t xml:space="preserve"> </w:t>
      </w:r>
      <w:r>
        <w:t xml:space="preserve">Accountant</w:t>
      </w:r>
      <w:r>
        <w:t xml:space="preserve"> </w:t>
      </w:r>
      <w:r>
        <w:t xml:space="preserve">assigned to this engagement shall be a qualified professional registered with the UAE Ministry of Finance. In the event of unavailability, a substitute of equivalent or higher qualification shall be provided with at least 48 hours' written notice to the client.</w:t>
      </w:r>
    </w:p>
    <w:p>
      <w:pPr>
        <w:numPr>
          <w:ilvl w:val="0"/>
          <w:numId w:val="1001"/>
        </w:numPr>
        <w:pStyle w:val="Compact"/>
      </w:pPr>
      <w:r>
        <w:t xml:space="preserve">All services shall be performed in strict accordance with the UAE Commercial Companies Law (Federal Law No. 32 of 2021), the UAE VAT Law (Federal Decree-Law No. 8 of 2017), and the Corporate Tax Law (Federal Decree-Law No. 47 of 2022) as applicable to entities operating in</w:t>
      </w:r>
      <w:r>
        <w:t xml:space="preserve"> </w:t>
      </w:r>
      <w:r>
        <w:t xml:space="preserve">United Arab Emirates Dubai</w:t>
      </w:r>
      <w:r>
        <w:t xml:space="preserve">.</w:t>
      </w:r>
    </w:p>
    <w:p>
      <w:pPr>
        <w:numPr>
          <w:ilvl w:val="0"/>
          <w:numId w:val="1001"/>
        </w:numPr>
        <w:pStyle w:val="Compact"/>
      </w:pPr>
      <w:r>
        <w:t xml:space="preserve">The client shall provide all necessary source documents, bank statements, invoices, and supporting records in a timely manner (within five business days of month-end) to enable the Accountant to complete deliverables within the agreed timelines.</w:t>
      </w:r>
    </w:p>
    <w:p>
      <w:pPr>
        <w:numPr>
          <w:ilvl w:val="0"/>
          <w:numId w:val="1001"/>
        </w:numPr>
        <w:pStyle w:val="Compact"/>
      </w:pPr>
      <w:r>
        <w:t xml:space="preserve">Any additional services, ad-hoc consultations, or scope changes beyond those itemised in Section 2 of this Quotation Estimate shall be billed at the hourly rate of AED 450.00 and require prior written approval from the client.</w:t>
      </w:r>
    </w:p>
    <w:p>
      <w:pPr>
        <w:numPr>
          <w:ilvl w:val="0"/>
          <w:numId w:val="1001"/>
        </w:numPr>
        <w:pStyle w:val="Compact"/>
      </w:pPr>
      <w:r>
        <w:t xml:space="preserve">Confidentiality: All financial data, trade secrets, and proprietary information shared by the client shall be treated as strictly confidential in accordance with the UAE Data Protection Law (Federal Decree-Law No. 45 of 2021). No information shall be disclosed to third parties without the client's written consent.</w:t>
      </w:r>
    </w:p>
    <w:p>
      <w:pPr>
        <w:numPr>
          <w:ilvl w:val="0"/>
          <w:numId w:val="1001"/>
        </w:numPr>
        <w:pStyle w:val="Compact"/>
      </w:pPr>
      <w:r>
        <w:t xml:space="preserve">This Quotation Estimate does not constitute a binding contract until a formal Service Agreement is executed by both parties. Acceptance of this Quotation Estimate shall be confirmed by the client's written signature and stamp below.</w:t>
      </w:r>
    </w:p>
    <w:p>
      <w:pPr>
        <w:numPr>
          <w:ilvl w:val="0"/>
          <w:numId w:val="1001"/>
        </w:numPr>
        <w:pStyle w:val="Compact"/>
      </w:pPr>
      <w:r>
        <w:t xml:space="preserve">Disputes arising from this engagement shall be governed by the laws of the United Arab Emirates and shall be subject to the exclusive jurisdiction of the Dubai Courts.</w:t>
      </w:r>
    </w:p>
    <w:bookmarkEnd w:id="24"/>
    <w:bookmarkStart w:id="25" w:name="acceptance-and-authorisation"/>
    <w:p>
      <w:pPr>
        <w:pStyle w:val="Heading3"/>
      </w:pPr>
      <w:r>
        <w:t xml:space="preserve">4. Acceptance and Authorisation</w:t>
      </w:r>
    </w:p>
    <w:p>
      <w:pPr>
        <w:pStyle w:val="FirstParagraph"/>
      </w:pPr>
      <w:r>
        <w:t xml:space="preserve">For and on behalf of</w:t>
      </w:r>
      <w:r>
        <w:br/>
      </w:r>
      <w:r>
        <w:t xml:space="preserve">Meridian Financial &amp; Accounting Services LLC</w:t>
      </w:r>
    </w:p>
    <w:p>
      <w:pPr>
        <w:pStyle w:val="BodyText"/>
      </w:pPr>
      <w:r>
        <w:rPr>
          <w:bCs/>
          <w:b/>
        </w:rPr>
        <w:t xml:space="preserve">Authorised Signatory</w:t>
      </w:r>
      <w:r>
        <w:br/>
      </w:r>
      <w:r>
        <w:t xml:space="preserve">Name: Sarah Al Farsi, Managing Director</w:t>
      </w:r>
      <w:r>
        <w:br/>
      </w:r>
      <w:r>
        <w:t xml:space="preserve">Date: _______________</w:t>
      </w:r>
    </w:p>
    <w:p>
      <w:pPr>
        <w:pStyle w:val="BodyText"/>
      </w:pPr>
      <w:r>
        <w:t xml:space="preserve">For and on behalf of</w:t>
      </w:r>
      <w:r>
        <w:br/>
      </w:r>
      <w:r>
        <w:t xml:space="preserve">Al Noor Trading Est. (Client)</w:t>
      </w:r>
    </w:p>
    <w:p>
      <w:pPr>
        <w:pStyle w:val="BodyText"/>
      </w:pPr>
      <w:r>
        <w:rPr>
          <w:bCs/>
          <w:b/>
        </w:rPr>
        <w:t xml:space="preserve">Authorised Signatory</w:t>
      </w:r>
      <w:r>
        <w:br/>
      </w:r>
      <w:r>
        <w:t xml:space="preserve">Name: Mr. Khalid Al Mansoori</w:t>
      </w:r>
      <w:r>
        <w:br/>
      </w:r>
      <w:r>
        <w:t xml:space="preserve">Date: _______________</w:t>
      </w:r>
    </w:p>
    <w:p>
      <w:pPr>
        <w:pStyle w:val="BodyText"/>
      </w:pPr>
      <w:r>
        <w:t xml:space="preserve">This Quotation Estimate document was prepared by Meridian Financial &amp; Accounting Services LLC, a licensed professional services firm registered in the United Arab Emirates, Dubai. All rates are inclusive of applicable professional fees and exclusive of any government levies unless otherwise stated. This document is confidential and intended solely for the named client. © 2025 Meridian Financial &amp; Accounting Services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United Arab Emirates Dubai</dc:title>
  <dc:creator/>
  <dc:language>en</dc:language>
  <cp:keywords/>
  <dcterms:created xsi:type="dcterms:W3CDTF">2026-10-10T10:01:23Z</dcterms:created>
  <dcterms:modified xsi:type="dcterms:W3CDTF">2026-10-10T10:01:23Z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