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Accountant Services — United States Miami, Florida</w:t>
      </w:r>
    </w:p>
    <w:bookmarkEnd w:id="20"/>
    <w:p>
      <w:pPr>
        <w:pStyle w:val="BodyText"/>
      </w:pPr>
      <w:r>
        <w:rPr>
          <w:bCs/>
          <w:b/>
        </w:rPr>
        <w:t xml:space="preserve">Prepared By:</w:t>
      </w:r>
      <w:r>
        <w:br/>
      </w:r>
      <w:r>
        <w:t xml:space="preserve">Meridian Accounting &amp; Advisory Group, LLC</w:t>
      </w:r>
      <w:r>
        <w:br/>
      </w:r>
      <w:r>
        <w:t xml:space="preserve">3401 Biscayne Boulevard, Suite 1200</w:t>
      </w:r>
      <w:r>
        <w:br/>
      </w:r>
      <w:r>
        <w:t xml:space="preserve">Miami, FL 33137 — United States</w:t>
      </w:r>
      <w:r>
        <w:br/>
      </w:r>
      <w:r>
        <w:t xml:space="preserve">Tel: (305) 555-0142</w:t>
      </w:r>
      <w:r>
        <w:br/>
      </w:r>
      <w:r>
        <w:t xml:space="preserve">Email: estimates@meridianaccounting.com</w:t>
      </w:r>
      <w:r>
        <w:br/>
      </w:r>
      <w:r>
        <w:t xml:space="preserve">FL CPA Firm License No. 2024-FL-0887</w:t>
      </w:r>
    </w:p>
    <w:p>
      <w:pPr>
        <w:pStyle w:val="BodyText"/>
      </w:pPr>
      <w:r>
        <w:rPr>
          <w:bCs/>
          <w:b/>
        </w:rPr>
        <w:t xml:space="preserve">Prepared For:</w:t>
      </w:r>
      <w:r>
        <w:br/>
      </w:r>
      <w:r>
        <w:t xml:space="preserve">[Client Name / Company Name]</w:t>
      </w:r>
      <w:r>
        <w:br/>
      </w:r>
      <w:r>
        <w:t xml:space="preserve">[Client Address]</w:t>
      </w:r>
      <w:r>
        <w:br/>
      </w:r>
      <w:r>
        <w:t xml:space="preserve">Miami, FL [ZIP] — United States</w:t>
      </w:r>
      <w:r>
        <w:br/>
      </w:r>
      <w:r>
        <w:t xml:space="preserve">Contact: [Client Contact Person]</w:t>
      </w:r>
      <w:r>
        <w:br/>
      </w:r>
      <w:r>
        <w:t xml:space="preserve">Email: [client@email.com]</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QE-2025-MIA-0472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Service Location:</w:t>
            </w:r>
          </w:p>
        </w:tc>
        <w:tc>
          <w:tcPr/>
          <w:p>
            <w:pPr>
              <w:pStyle w:val="Compact"/>
              <w:jc w:val="left"/>
            </w:pPr>
            <w:r>
              <w:t xml:space="preserve">Miami, Florida, United States</w:t>
            </w:r>
          </w:p>
        </w:tc>
      </w:tr>
      <w:tr>
        <w:tc>
          <w:tcPr/>
          <w:p>
            <w:pPr>
              <w:pStyle w:val="Compact"/>
              <w:jc w:val="left"/>
            </w:pPr>
            <w:r>
              <w:t xml:space="preserve">Service Category:</w:t>
            </w:r>
          </w:p>
        </w:tc>
        <w:tc>
          <w:tcPr/>
          <w:p>
            <w:pPr>
              <w:pStyle w:val="Compact"/>
              <w:jc w:val="left"/>
            </w:pPr>
            <w:r>
              <w:t xml:space="preserve">Accountant — Full-Service Financial Advisory</w:t>
            </w:r>
          </w:p>
        </w:tc>
        <w:tc>
          <w:tcPr/>
          <w:p>
            <w:pPr>
              <w:pStyle w:val="Compact"/>
              <w:jc w:val="left"/>
            </w:pPr>
            <w:r>
              <w:t xml:space="preserve">Currency:</w:t>
            </w:r>
          </w:p>
        </w:tc>
        <w:tc>
          <w:tcPr/>
          <w:p>
            <w:pPr>
              <w:pStyle w:val="Compact"/>
              <w:jc w:val="left"/>
            </w:pPr>
            <w:r>
              <w:t xml:space="preserve">USD (United States Dollar)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Accounting &amp; Advisory Group, LLC, a licensed and certified</w:t>
      </w:r>
      <w:r>
        <w:t xml:space="preserve"> </w:t>
      </w:r>
      <w:r>
        <w:t xml:space="preserve">Accountant</w:t>
      </w:r>
      <w:r>
        <w:t xml:space="preserve"> </w:t>
      </w:r>
      <w:r>
        <w:t xml:space="preserve">firm operating in</w:t>
      </w:r>
      <w:r>
        <w:t xml:space="preserve"> </w:t>
      </w:r>
      <w:r>
        <w:t xml:space="preserve">United States Miami</w:t>
      </w:r>
      <w:r>
        <w:t xml:space="preserve">, Florida, to provide a comprehensive and itemized breakdown of professional accounting services to be rendered to the above-referenced client. This document serves as a formal proposal outlining the scope of work, associated fees, applicable taxes, payment schedules, and all terms and conditions governing the engagement. All pricing contained within this</w:t>
      </w:r>
      <w:r>
        <w:t xml:space="preserve"> </w:t>
      </w:r>
      <w:r>
        <w:t xml:space="preserve">Quotation Estimate</w:t>
      </w:r>
      <w:r>
        <w:t xml:space="preserve"> </w:t>
      </w:r>
      <w:r>
        <w:t xml:space="preserve">reflects current market rates for</w:t>
      </w:r>
      <w:r>
        <w:t xml:space="preserve"> </w:t>
      </w:r>
      <w:r>
        <w:t xml:space="preserve">Accountant</w:t>
      </w:r>
      <w:r>
        <w:t xml:space="preserve"> </w:t>
      </w:r>
      <w:r>
        <w:t xml:space="preserve">services in the</w:t>
      </w:r>
      <w:r>
        <w:t xml:space="preserve"> </w:t>
      </w:r>
      <w:r>
        <w:t xml:space="preserve">United States Miami</w:t>
      </w:r>
      <w:r>
        <w:t xml:space="preserve"> </w:t>
      </w:r>
      <w:r>
        <w:t xml:space="preserve">metropolitan area as of the date of issue.</w:t>
      </w:r>
    </w:p>
    <w:bookmarkEnd w:id="21"/>
    <w:bookmarkStart w:id="22" w:name="scope-of-accountant-services"/>
    <w:p>
      <w:pPr>
        <w:pStyle w:val="Heading2"/>
      </w:pPr>
      <w:r>
        <w:t xml:space="preserve">2. Scope of Accountant Services</w:t>
      </w:r>
    </w:p>
    <w:p>
      <w:pPr>
        <w:pStyle w:val="FirstParagraph"/>
      </w:pPr>
      <w:r>
        <w:t xml:space="preserve">The following</w:t>
      </w:r>
      <w:r>
        <w:t xml:space="preserve"> </w:t>
      </w:r>
      <w:r>
        <w:t xml:space="preserve">Accountant</w:t>
      </w:r>
      <w:r>
        <w:t xml:space="preserve"> </w:t>
      </w:r>
      <w:r>
        <w:t xml:space="preserve">services have been identified and scoped based on the client's stated requirements for financial management, tax compliance, and advisory support within the jurisdiction of</w:t>
      </w:r>
      <w:r>
        <w:t xml:space="preserve"> </w:t>
      </w:r>
      <w:r>
        <w:t xml:space="preserve">United States Miami</w:t>
      </w:r>
      <w:r>
        <w:t xml:space="preserve">, including adherence to all applicable federal (IRS), state (Florida Department of Revenue), and local (Miami-Dade County) regulatory frameworks.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Monthly General Ledger Maintenance &amp; Reconciliation (Accountant)</w:t>
            </w:r>
          </w:p>
        </w:tc>
        <w:tc>
          <w:tcPr/>
          <w:p>
            <w:pPr>
              <w:pStyle w:val="Compact"/>
              <w:jc w:val="left"/>
            </w:pPr>
            <w:r>
              <w:t xml:space="preserve">Monthly (12x)</w:t>
            </w:r>
          </w:p>
        </w:tc>
        <w:tc>
          <w:tcPr/>
          <w:p>
            <w:pPr>
              <w:pStyle w:val="Compact"/>
              <w:jc w:val="left"/>
            </w:pPr>
            <w:r>
              <w:t xml:space="preserve">12 hrs/mo</w:t>
            </w:r>
          </w:p>
        </w:tc>
        <w:tc>
          <w:tcPr/>
          <w:p>
            <w:pPr>
              <w:pStyle w:val="Compact"/>
              <w:jc w:val="left"/>
            </w:pPr>
            <w:r>
              <w:t xml:space="preserve">$185.00</w:t>
            </w:r>
          </w:p>
        </w:tc>
        <w:tc>
          <w:tcPr/>
          <w:p>
            <w:pPr>
              <w:pStyle w:val="Compact"/>
              <w:jc w:val="left"/>
            </w:pPr>
            <w:r>
              <w:t xml:space="preserve">$26,640.00</w:t>
            </w:r>
          </w:p>
        </w:tc>
      </w:tr>
      <w:tr>
        <w:tc>
          <w:tcPr/>
          <w:p>
            <w:pPr>
              <w:pStyle w:val="Compact"/>
              <w:jc w:val="left"/>
            </w:pPr>
            <w:r>
              <w:t xml:space="preserve">2</w:t>
            </w:r>
          </w:p>
        </w:tc>
        <w:tc>
          <w:tcPr/>
          <w:p>
            <w:pPr>
              <w:pStyle w:val="Compact"/>
              <w:jc w:val="left"/>
            </w:pPr>
            <w:r>
              <w:t xml:space="preserve">Quarterly Financial Statement Preparation (Balance Sheet, P&amp;L, Cash Flow)</w:t>
            </w:r>
          </w:p>
        </w:tc>
        <w:tc>
          <w:tcPr/>
          <w:p>
            <w:pPr>
              <w:pStyle w:val="Compact"/>
              <w:jc w:val="left"/>
            </w:pPr>
            <w:r>
              <w:t xml:space="preserve">Quarterly (4x)</w:t>
            </w:r>
          </w:p>
        </w:tc>
        <w:tc>
          <w:tcPr/>
          <w:p>
            <w:pPr>
              <w:pStyle w:val="Compact"/>
              <w:jc w:val="left"/>
            </w:pPr>
            <w:r>
              <w:t xml:space="preserve">16 hrs/qtr</w:t>
            </w:r>
          </w:p>
        </w:tc>
        <w:tc>
          <w:tcPr/>
          <w:p>
            <w:pPr>
              <w:pStyle w:val="Compact"/>
              <w:jc w:val="left"/>
            </w:pPr>
            <w:r>
              <w:t xml:space="preserve">$185.00</w:t>
            </w:r>
          </w:p>
        </w:tc>
        <w:tc>
          <w:tcPr/>
          <w:p>
            <w:pPr>
              <w:pStyle w:val="Compact"/>
              <w:jc w:val="left"/>
            </w:pPr>
            <w:r>
              <w:t xml:space="preserve">$11,840.00</w:t>
            </w:r>
          </w:p>
        </w:tc>
      </w:tr>
      <w:tr>
        <w:tc>
          <w:tcPr/>
          <w:p>
            <w:pPr>
              <w:pStyle w:val="Compact"/>
              <w:jc w:val="left"/>
            </w:pPr>
            <w:r>
              <w:t xml:space="preserve">3</w:t>
            </w:r>
          </w:p>
        </w:tc>
        <w:tc>
          <w:tcPr/>
          <w:p>
            <w:pPr>
              <w:pStyle w:val="Compact"/>
              <w:jc w:val="left"/>
            </w:pPr>
            <w:r>
              <w:t xml:space="preserve">Annual Federal &amp; State Tax Return Filing (1040 / 1120 / FL-1120)</w:t>
            </w:r>
          </w:p>
        </w:tc>
        <w:tc>
          <w:tcPr/>
          <w:p>
            <w:pPr>
              <w:pStyle w:val="Compact"/>
              <w:jc w:val="left"/>
            </w:pPr>
            <w:r>
              <w:t xml:space="preserve">Annual (1x)</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4</w:t>
            </w:r>
          </w:p>
        </w:tc>
        <w:tc>
          <w:tcPr/>
          <w:p>
            <w:pPr>
              <w:pStyle w:val="Compact"/>
              <w:jc w:val="left"/>
            </w:pPr>
            <w:r>
              <w:t xml:space="preserve">Miami-Dade County Business Tax Receipt &amp; Local Compliance Filing</w:t>
            </w:r>
          </w:p>
        </w:tc>
        <w:tc>
          <w:tcPr/>
          <w:p>
            <w:pPr>
              <w:pStyle w:val="Compact"/>
              <w:jc w:val="left"/>
            </w:pPr>
            <w:r>
              <w:t xml:space="preserve">Annual (1x)</w:t>
            </w:r>
          </w:p>
        </w:tc>
        <w:tc>
          <w:tcPr/>
          <w:p>
            <w:pPr>
              <w:pStyle w:val="Compact"/>
              <w:jc w:val="left"/>
            </w:pPr>
            <w:r>
              <w:t xml:space="preserve">8 hrs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5</w:t>
            </w:r>
          </w:p>
        </w:tc>
        <w:tc>
          <w:tcPr/>
          <w:p>
            <w:pPr>
              <w:pStyle w:val="Compact"/>
              <w:jc w:val="left"/>
            </w:pPr>
            <w:r>
              <w:t xml:space="preserve">Payroll Processing &amp; Employer Tax Compliance (United States Miami jurisdiction)</w:t>
            </w:r>
          </w:p>
        </w:tc>
        <w:tc>
          <w:tcPr/>
          <w:p>
            <w:pPr>
              <w:pStyle w:val="Compact"/>
              <w:jc w:val="left"/>
            </w:pPr>
            <w:r>
              <w:t xml:space="preserve">Monthly (12x)</w:t>
            </w:r>
          </w:p>
        </w:tc>
        <w:tc>
          <w:tcPr/>
          <w:p>
            <w:pPr>
              <w:pStyle w:val="Compact"/>
              <w:jc w:val="left"/>
            </w:pPr>
            <w:r>
              <w:t xml:space="preserve">6 hrs/mo</w:t>
            </w:r>
          </w:p>
        </w:tc>
        <w:tc>
          <w:tcPr/>
          <w:p>
            <w:pPr>
              <w:pStyle w:val="Compact"/>
              <w:jc w:val="left"/>
            </w:pPr>
            <w:r>
              <w:t xml:space="preserve">$185.00</w:t>
            </w:r>
          </w:p>
        </w:tc>
        <w:tc>
          <w:tcPr/>
          <w:p>
            <w:pPr>
              <w:pStyle w:val="Compact"/>
              <w:jc w:val="left"/>
            </w:pPr>
            <w:r>
              <w:t xml:space="preserve">$13,320.00</w:t>
            </w:r>
          </w:p>
        </w:tc>
      </w:tr>
      <w:tr>
        <w:tc>
          <w:tcPr/>
          <w:p>
            <w:pPr>
              <w:pStyle w:val="Compact"/>
              <w:jc w:val="left"/>
            </w:pPr>
            <w:r>
              <w:t xml:space="preserve">6</w:t>
            </w:r>
          </w:p>
        </w:tc>
        <w:tc>
          <w:tcPr/>
          <w:p>
            <w:pPr>
              <w:pStyle w:val="Compact"/>
              <w:jc w:val="left"/>
            </w:pPr>
            <w:r>
              <w:t xml:space="preserve">Monthly Tax Planning &amp; Advisory Consultation (Senior Accountant)</w:t>
            </w:r>
          </w:p>
        </w:tc>
        <w:tc>
          <w:tcPr/>
          <w:p>
            <w:pPr>
              <w:pStyle w:val="Compact"/>
              <w:jc w:val="left"/>
            </w:pPr>
            <w:r>
              <w:t xml:space="preserve">Monthly (12x)</w:t>
            </w:r>
          </w:p>
        </w:tc>
        <w:tc>
          <w:tcPr/>
          <w:p>
            <w:pPr>
              <w:pStyle w:val="Compact"/>
              <w:jc w:val="left"/>
            </w:pPr>
            <w:r>
              <w:t xml:space="preserve">2 hrs/mo</w:t>
            </w:r>
          </w:p>
        </w:tc>
        <w:tc>
          <w:tcPr/>
          <w:p>
            <w:pPr>
              <w:pStyle w:val="Compact"/>
              <w:jc w:val="left"/>
            </w:pPr>
            <w:r>
              <w:t xml:space="preserve">$225.00</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Accounts Payable &amp; Receivable Management</w:t>
            </w:r>
          </w:p>
        </w:tc>
        <w:tc>
          <w:tcPr/>
          <w:p>
            <w:pPr>
              <w:pStyle w:val="Compact"/>
              <w:jc w:val="left"/>
            </w:pPr>
            <w:r>
              <w:t xml:space="preserve">Monthly (12x)</w:t>
            </w:r>
          </w:p>
        </w:tc>
        <w:tc>
          <w:tcPr/>
          <w:p>
            <w:pPr>
              <w:pStyle w:val="Compact"/>
              <w:jc w:val="left"/>
            </w:pPr>
            <w:r>
              <w:t xml:space="preserve">10 hrs/mo</w:t>
            </w:r>
          </w:p>
        </w:tc>
        <w:tc>
          <w:tcPr/>
          <w:p>
            <w:pPr>
              <w:pStyle w:val="Compact"/>
              <w:jc w:val="left"/>
            </w:pPr>
            <w:r>
              <w:t xml:space="preserve">$165.00</w:t>
            </w:r>
          </w:p>
        </w:tc>
        <w:tc>
          <w:tcPr/>
          <w:p>
            <w:pPr>
              <w:pStyle w:val="Compact"/>
              <w:jc w:val="left"/>
            </w:pPr>
            <w:r>
              <w:t xml:space="preserve">$23,760.00</w:t>
            </w:r>
          </w:p>
        </w:tc>
      </w:tr>
      <w:tr>
        <w:tc>
          <w:tcPr/>
          <w:p>
            <w:pPr>
              <w:pStyle w:val="Compact"/>
              <w:jc w:val="left"/>
            </w:pPr>
            <w:r>
              <w:t xml:space="preserve">8</w:t>
            </w:r>
          </w:p>
        </w:tc>
        <w:tc>
          <w:tcPr/>
          <w:p>
            <w:pPr>
              <w:pStyle w:val="Compact"/>
              <w:jc w:val="left"/>
            </w:pPr>
            <w:r>
              <w:t xml:space="preserve">Annual Audit Readiness Review &amp; Internal Controls Assessment</w:t>
            </w:r>
          </w:p>
        </w:tc>
        <w:tc>
          <w:tcPr/>
          <w:p>
            <w:pPr>
              <w:pStyle w:val="Compact"/>
              <w:jc w:val="left"/>
            </w:pPr>
            <w:r>
              <w:t xml:space="preserve">Annual (1x)</w:t>
            </w:r>
          </w:p>
        </w:tc>
        <w:tc>
          <w:tcPr/>
          <w:p>
            <w:pPr>
              <w:pStyle w:val="Compact"/>
              <w:jc w:val="left"/>
            </w:pPr>
            <w:r>
              <w:t xml:space="preserve">24 hrs</w:t>
            </w:r>
          </w:p>
        </w:tc>
        <w:tc>
          <w:tcPr/>
          <w:p>
            <w:pPr>
              <w:pStyle w:val="Compact"/>
              <w:jc w:val="left"/>
            </w:pPr>
            <w:r>
              <w:t xml:space="preserve">$210.00</w:t>
            </w:r>
          </w:p>
        </w:tc>
        <w:tc>
          <w:tcPr/>
          <w:p>
            <w:pPr>
              <w:pStyle w:val="Compact"/>
              <w:jc w:val="left"/>
            </w:pPr>
            <w:r>
              <w:t xml:space="preserve">$5,040.00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$94,880.00</w:t>
            </w:r>
          </w:p>
        </w:tc>
      </w:tr>
      <w:tr>
        <w:tc>
          <w:tcPr/>
          <w:p>
            <w:pPr>
              <w:pStyle w:val="Compact"/>
              <w:jc w:val="left"/>
            </w:pPr>
            <w:r>
              <w:t xml:space="preserve">Florida State Sales Tax (7.0%)</w:t>
            </w:r>
          </w:p>
        </w:tc>
        <w:tc>
          <w:tcPr/>
          <w:p>
            <w:pPr>
              <w:pStyle w:val="Compact"/>
              <w:jc w:val="left"/>
            </w:pPr>
            <w:r>
              <w:t xml:space="preserve">$6,641.60</w:t>
            </w:r>
          </w:p>
        </w:tc>
      </w:tr>
      <w:tr>
        <w:tc>
          <w:tcPr/>
          <w:p>
            <w:pPr>
              <w:pStyle w:val="Compact"/>
              <w:jc w:val="left"/>
            </w:pPr>
            <w:r>
              <w:t xml:space="preserve">Miami-Dade County Surcharge (0.5%)</w:t>
            </w:r>
          </w:p>
        </w:tc>
        <w:tc>
          <w:tcPr/>
          <w:p>
            <w:pPr>
              <w:pStyle w:val="Compact"/>
              <w:jc w:val="left"/>
            </w:pPr>
            <w:r>
              <w:t xml:space="preserve">$474.40</w:t>
            </w:r>
          </w:p>
        </w:tc>
      </w:tr>
      <w:tr>
        <w:tc>
          <w:tcPr/>
          <w:p>
            <w:pPr>
              <w:pStyle w:val="Compact"/>
              <w:jc w:val="left"/>
            </w:pPr>
            <w:r>
              <w:t xml:space="preserve">Estimated Third-Party Filing Fees</w:t>
            </w:r>
          </w:p>
        </w:tc>
        <w:tc>
          <w:tcPr/>
          <w:p>
            <w:pPr>
              <w:pStyle w:val="Compact"/>
              <w:jc w:val="left"/>
            </w:pPr>
            <w:r>
              <w:t xml:space="preserve">$1,200.00</w:t>
            </w:r>
          </w:p>
        </w:tc>
      </w:tr>
      <w:tr>
        <w:tc>
          <w:tcPr/>
          <w:p>
            <w:pPr>
              <w:pStyle w:val="Compact"/>
              <w:jc w:val="left"/>
            </w:pPr>
            <w:r>
              <w:t xml:space="preserve">GRAND TOTAL (USD)</w:t>
            </w:r>
          </w:p>
        </w:tc>
        <w:tc>
          <w:tcPr/>
          <w:p>
            <w:pPr>
              <w:pStyle w:val="Compact"/>
              <w:jc w:val="left"/>
            </w:pPr>
            <w:r>
              <w:t xml:space="preserve">$103,196.00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expiration date, all rates and terms are subject to revision based on prevailing</w:t>
      </w:r>
      <w:r>
        <w:t xml:space="preserve"> </w:t>
      </w:r>
      <w:r>
        <w:t xml:space="preserve">Accountant</w:t>
      </w:r>
      <w:r>
        <w:t xml:space="preserve"> </w:t>
      </w:r>
      <w:r>
        <w:t xml:space="preserve">service market conditions in</w:t>
      </w:r>
      <w:r>
        <w:t xml:space="preserve"> </w:t>
      </w:r>
      <w:r>
        <w:t xml:space="preserve">United States Miami</w:t>
      </w:r>
      <w:r>
        <w:t xml:space="preserve">.</w:t>
      </w:r>
    </w:p>
    <w:p>
      <w:pPr>
        <w:numPr>
          <w:ilvl w:val="0"/>
          <w:numId w:val="1001"/>
        </w:numPr>
        <w:pStyle w:val="Compact"/>
      </w:pPr>
      <w:r>
        <w:rPr>
          <w:bCs/>
          <w:b/>
        </w:rPr>
        <w:t xml:space="preserve">Payment Schedule:</w:t>
      </w:r>
      <w:r>
        <w:t xml:space="preserve"> </w:t>
      </w:r>
      <w:r>
        <w:t xml:space="preserve">Invoices shall be issued on a monthly basis, due within fifteen (15) business days of invoice date. A late payment surcharge of 1.5% per month will apply to outstanding balances. Payment may be made via ACH transfer, wire transfer, or certified check to the firm's Miami, Florida office.</w:t>
      </w:r>
    </w:p>
    <w:p>
      <w:pPr>
        <w:numPr>
          <w:ilvl w:val="0"/>
          <w:numId w:val="1001"/>
        </w:numPr>
        <w:pStyle w:val="Compact"/>
      </w:pPr>
      <w:r>
        <w:rPr>
          <w:bCs/>
          <w:b/>
        </w:rPr>
        <w:t xml:space="preserve">Scope Limitations:</w:t>
      </w:r>
      <w:r>
        <w:t xml:space="preserve"> </w:t>
      </w:r>
      <w:r>
        <w:t xml:space="preserve">This</w:t>
      </w:r>
      <w:r>
        <w:t xml:space="preserve"> </w:t>
      </w:r>
      <w:r>
        <w:t xml:space="preserve">Quotation Estimate</w:t>
      </w:r>
      <w:r>
        <w:t xml:space="preserve"> </w:t>
      </w:r>
      <w:r>
        <w:t xml:space="preserve">covers only the services explicitly listed in Section 2. Any additional</w:t>
      </w:r>
      <w:r>
        <w:t xml:space="preserve"> </w:t>
      </w:r>
      <w:r>
        <w:t xml:space="preserve">Accountant</w:t>
      </w:r>
      <w:r>
        <w:t xml:space="preserve"> </w:t>
      </w:r>
      <w:r>
        <w:t xml:space="preserve">services, including but not limited to forensic accounting, litigation support, or international tax advisory beyond United States Miami jurisdiction, will be quoted separately at the firm's standard hourly rates.</w:t>
      </w:r>
    </w:p>
    <w:p>
      <w:pPr>
        <w:numPr>
          <w:ilvl w:val="0"/>
          <w:numId w:val="1001"/>
        </w:numPr>
        <w:pStyle w:val="Compact"/>
      </w:pPr>
      <w:r>
        <w:rPr>
          <w:bCs/>
          <w:b/>
        </w:rPr>
        <w:t xml:space="preserve">Client Responsibilities:</w:t>
      </w:r>
      <w:r>
        <w:t xml:space="preserve"> </w:t>
      </w:r>
      <w:r>
        <w:t xml:space="preserve">The client agrees to provide all necessary financial documents, bank statements, receipts, and supporting records in a timely manner. Failure to provide documentation within ten (10) business days of request may result in service delays and additional fees.</w:t>
      </w:r>
    </w:p>
    <w:p>
      <w:pPr>
        <w:numPr>
          <w:ilvl w:val="0"/>
          <w:numId w:val="1001"/>
        </w:numPr>
        <w:pStyle w:val="Compact"/>
      </w:pPr>
      <w:r>
        <w:rPr>
          <w:bCs/>
          <w:b/>
        </w:rPr>
        <w:t xml:space="preserve">Confidentiality:</w:t>
      </w:r>
      <w:r>
        <w:t xml:space="preserve"> </w:t>
      </w:r>
      <w:r>
        <w:t xml:space="preserve">All financial data, records, and information shared in connection with this engagement shall be treated as strictly confidential in accordance with the American Institute of Certified Public Accountants (AICPA) Code of Professional Conduct and applicable Florida state privacy laws.</w:t>
      </w:r>
    </w:p>
    <w:p>
      <w:pPr>
        <w:numPr>
          <w:ilvl w:val="0"/>
          <w:numId w:val="1001"/>
        </w:numPr>
        <w:pStyle w:val="Compact"/>
      </w:pPr>
      <w:r>
        <w:rPr>
          <w:bCs/>
          <w:b/>
        </w:rPr>
        <w:t xml:space="preserve">Regulatory Compliance:</w:t>
      </w:r>
      <w:r>
        <w:t xml:space="preserve"> </w:t>
      </w:r>
      <w:r>
        <w:t xml:space="preserve">The</w:t>
      </w:r>
      <w:r>
        <w:t xml:space="preserve"> </w:t>
      </w:r>
      <w:r>
        <w:t xml:space="preserve">Accountant</w:t>
      </w:r>
      <w:r>
        <w:t xml:space="preserve"> </w:t>
      </w:r>
      <w:r>
        <w:t xml:space="preserve">firm shall ensure all filings and advisory work comply with the Internal Revenue Code, Florida Statutes Chapter 213, and Miami-Dade County municipal ordinances. The firm maintains professional liability insurance with a minimum coverage of $2,000,000 per occurrence.</w:t>
      </w:r>
    </w:p>
    <w:p>
      <w:pPr>
        <w:numPr>
          <w:ilvl w:val="0"/>
          <w:numId w:val="1001"/>
        </w:numPr>
        <w:pStyle w:val="Compact"/>
      </w:pPr>
      <w:r>
        <w:rPr>
          <w:bCs/>
          <w:b/>
        </w:rPr>
        <w:t xml:space="preserve">Termination:</w:t>
      </w:r>
      <w:r>
        <w:t xml:space="preserve"> </w:t>
      </w:r>
      <w:r>
        <w:t xml:space="preserve">Either party may terminate this engagement with thirty (30) days written notice. Upon termination, the client shall be invoiced for all services rendered through the termination date. This</w:t>
      </w:r>
      <w:r>
        <w:t xml:space="preserve"> </w:t>
      </w:r>
      <w:r>
        <w:t xml:space="preserve">Quotation Estimate</w:t>
      </w:r>
      <w:r>
        <w:t xml:space="preserve"> </w:t>
      </w:r>
      <w:r>
        <w:t xml:space="preserve">shall be considered null and void upon mutual written agreement.</w:t>
      </w:r>
    </w:p>
    <w:p>
      <w:pPr>
        <w:numPr>
          <w:ilvl w:val="0"/>
          <w:numId w:val="1001"/>
        </w:numPr>
        <w:pStyle w:val="Compact"/>
      </w:pPr>
      <w:r>
        <w:rPr>
          <w:bCs/>
          <w:b/>
        </w:rPr>
        <w:t xml:space="preserve">Governing Law:</w:t>
      </w:r>
      <w:r>
        <w:t xml:space="preserve"> </w:t>
      </w:r>
      <w:r>
        <w:t xml:space="preserve">This agreement and all matters arising from this</w:t>
      </w:r>
      <w:r>
        <w:t xml:space="preserve"> </w:t>
      </w:r>
      <w:r>
        <w:t xml:space="preserve">Quotation Estimate</w:t>
      </w:r>
      <w:r>
        <w:t xml:space="preserve"> </w:t>
      </w:r>
      <w:r>
        <w:t xml:space="preserve">shall be governed by the laws of the State of Florida, United States, with exclusive jurisdiction in the courts of Miami-Dade County, Miami, Florida.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affecting the</w:t>
      </w:r>
      <w:r>
        <w:t xml:space="preserve"> </w:t>
      </w:r>
      <w:r>
        <w:t xml:space="preserve">United States Miami</w:t>
      </w:r>
      <w:r>
        <w:t xml:space="preserve"> </w:t>
      </w:r>
      <w:r>
        <w:t xml:space="preserve">region, government-mandated closures, or systemic financial infrastructure failures.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Accounting &amp; Advisory Group, LLC to commence the</w:t>
      </w:r>
      <w:r>
        <w:t xml:space="preserve"> </w:t>
      </w:r>
      <w:r>
        <w:t xml:space="preserve">Accountant</w:t>
      </w:r>
      <w:r>
        <w:t xml:space="preserve"> </w:t>
      </w:r>
      <w:r>
        <w:t xml:space="preserve">services described herein at the rates and under the terms specified. This signature constitutes a binding agreement for the services outlined in this document, effective as of the date of the last signature.</w:t>
      </w:r>
    </w:p>
    <w:p>
      <w:pPr>
        <w:pStyle w:val="BodyText"/>
      </w:pPr>
      <w:r>
        <w:rPr>
          <w:bCs/>
          <w:b/>
        </w:rPr>
        <w:t xml:space="preserve">For Meridian Accounting &amp; Advisory Group, LLC</w:t>
      </w:r>
      <w:r>
        <w:br/>
      </w:r>
      <w:r>
        <w:t xml:space="preserve">Name: ______________________________</w:t>
      </w:r>
      <w:r>
        <w:br/>
      </w:r>
      <w:r>
        <w:t xml:space="preserve">Title: Lead Accountant / CPA</w:t>
      </w:r>
      <w:r>
        <w:br/>
      </w:r>
      <w:r>
        <w:t xml:space="preserve">Signature: ______________________________</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This</w:t>
      </w:r>
      <w:r>
        <w:t xml:space="preserve"> </w:t>
      </w:r>
      <w:r>
        <w:t xml:space="preserve">Quotation Estimate</w:t>
      </w:r>
      <w:r>
        <w:t xml:space="preserve"> </w:t>
      </w:r>
      <w:r>
        <w:t xml:space="preserve">(QE-2025-MIA-0472) was prepared by a licensed</w:t>
      </w:r>
      <w:r>
        <w:t xml:space="preserve"> </w:t>
      </w:r>
      <w:r>
        <w:t xml:space="preserve">Accountant</w:t>
      </w:r>
      <w:r>
        <w:t xml:space="preserve"> </w:t>
      </w:r>
      <w:r>
        <w:t xml:space="preserve">firm in</w:t>
      </w:r>
      <w:r>
        <w:t xml:space="preserve"> </w:t>
      </w:r>
      <w:r>
        <w:t xml:space="preserve">United States Miami</w:t>
      </w:r>
      <w:r>
        <w:t xml:space="preserve">, Florida.</w:t>
      </w:r>
      <w:r>
        <w:t xml:space="preserve"> </w:t>
      </w:r>
      <w:r>
        <w:t xml:space="preserve">All fees are quoted in United States Dollars (USD). This document is confidential and intended solely for the named recipient.</w:t>
      </w:r>
      <w:r>
        <w:t xml:space="preserve"> </w:t>
      </w:r>
      <w:r>
        <w:t xml:space="preserve">© 2025 Meridian Accounting &amp; Advisory Group, LLC.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United States Miami</dc:title>
  <dc:creator/>
  <dc:language>en</dc:language>
  <cp:keywords/>
  <dcterms:created xsi:type="dcterms:W3CDTF">2026-10-10T08:07:03Z</dcterms:created>
  <dcterms:modified xsi:type="dcterms:W3CDTF">2026-10-10T08:07:03Z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