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a9a7ede4c793b9b24fe1dd93d7e0b1810008401"/>
    <w:p>
      <w:pPr>
        <w:pStyle w:val="Heading1"/>
      </w:pPr>
      <w:r>
        <w:t xml:space="preserve">Meridian Accounting &amp; Financial Advisory Group, LLP</w:t>
      </w:r>
    </w:p>
    <w:p>
      <w:pPr>
        <w:pStyle w:val="FirstParagraph"/>
      </w:pPr>
      <w:r>
        <w:t xml:space="preserve">350 Fifth Avenue, Suite 4200, New York, NY 10118 | United States New York City</w:t>
      </w:r>
    </w:p>
    <w:p>
      <w:pPr>
        <w:pStyle w:val="BodyText"/>
      </w:pPr>
      <w:r>
        <w:t xml:space="preserve">Phone: (212) 555-0147 | Email: estimates@meridianaccounting.com | NY State License No. 114-8823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QTE-2025-NYC-04872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Daniel R. Whitfield, CPA, CGMA</w:t>
      </w:r>
    </w:p>
    <w:p>
      <w:pPr>
        <w:pStyle w:val="BodyText"/>
      </w:pPr>
      <w:r>
        <w:rPr>
          <w:bCs/>
          <w:b/>
        </w:rPr>
        <w:t xml:space="preserve">Service Location:</w:t>
      </w:r>
      <w:r>
        <w:t xml:space="preserve"> </w:t>
      </w:r>
      <w:r>
        <w:t xml:space="preserve">United States New York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Harborview Logistics &amp; Distribution, Inc.</w:t>
      </w:r>
    </w:p>
    <w:p>
      <w:pPr>
        <w:pStyle w:val="BodyText"/>
      </w:pPr>
      <w:r>
        <w:rPr>
          <w:bCs/>
          <w:b/>
        </w:rPr>
        <w:t xml:space="preserve">Address:</w:t>
      </w:r>
      <w:r>
        <w:t xml:space="preserve"> </w:t>
      </w:r>
      <w:r>
        <w:t xml:space="preserve">2840 42nd Street, Brooklyn, NY 11232</w:t>
      </w:r>
    </w:p>
    <w:p>
      <w:pPr>
        <w:pStyle w:val="BodyText"/>
      </w:pPr>
      <w:r>
        <w:rPr>
          <w:bCs/>
          <w:b/>
        </w:rPr>
        <w:t xml:space="preserve">United States New York City</w:t>
      </w:r>
    </w:p>
    <w:p>
      <w:pPr>
        <w:pStyle w:val="BodyText"/>
      </w:pPr>
      <w:r>
        <w:rPr>
          <w:bCs/>
          <w:b/>
        </w:rPr>
        <w:t xml:space="preserve">Contact Person:</w:t>
      </w:r>
      <w:r>
        <w:t xml:space="preserve"> </w:t>
      </w:r>
      <w:r>
        <w:t xml:space="preserve">Ms. Angela Torres, CFO</w:t>
      </w:r>
    </w:p>
    <w:p>
      <w:pPr>
        <w:pStyle w:val="BodyText"/>
      </w:pPr>
      <w:r>
        <w:rPr>
          <w:bCs/>
          <w:b/>
        </w:rPr>
        <w:t xml:space="preserve">Phone:</w:t>
      </w:r>
      <w:r>
        <w:t xml:space="preserve"> </w:t>
      </w:r>
      <w:r>
        <w:t xml:space="preserve">(718) 555-0392</w:t>
      </w:r>
    </w:p>
    <w:p>
      <w:pPr>
        <w:pStyle w:val="BodyText"/>
      </w:pPr>
      <w:r>
        <w:rPr>
          <w:bCs/>
          <w:b/>
        </w:rPr>
        <w:t xml:space="preserve">Email:</w:t>
      </w:r>
      <w:r>
        <w:t xml:space="preserve"> </w:t>
      </w:r>
      <w:r>
        <w:t xml:space="preserve">a.torres@harborviewlogistics.com</w:t>
      </w:r>
    </w:p>
    <w:bookmarkEnd w:id="22"/>
    <w:p>
      <w:pPr>
        <w:pStyle w:val="BodyText"/>
      </w:pPr>
      <w:r>
        <w:t xml:space="preserve">Scope of Accountant Services</w:t>
      </w:r>
    </w:p>
    <w:p>
      <w:pPr>
        <w:pStyle w:val="BodyText"/>
      </w:pPr>
      <w:r>
        <w:t xml:space="preserve">This Quotation Estimate is issued by Meridian Accounting &amp; Financial Advisory Group, LLP to provide a comprehensive and itemized cost breakdown for professional Accountant services to be rendered to the above-named client within the jurisdiction of the United States New York City. The services outlined below are designed to meet the regulatory, tax, and financial reporting requirements applicable to businesses operating in New York State and the City of New York, including compliance with the New York State Department of Taxation and Finance, the Internal Revenue Service (IRS), and the New York City Department of Finance.</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Accountant Service Description</w:t>
            </w:r>
          </w:p>
        </w:tc>
        <w:tc>
          <w:tcPr/>
          <w:p>
            <w:pPr>
              <w:pStyle w:val="Compact"/>
              <w:jc w:val="left"/>
            </w:pPr>
            <w:r>
              <w:t xml:space="preserve">Frequency</w:t>
            </w:r>
          </w:p>
        </w:tc>
        <w:tc>
          <w:tcPr/>
          <w:p>
            <w:pPr>
              <w:pStyle w:val="Compact"/>
              <w:jc w:val="left"/>
            </w:pPr>
            <w:r>
              <w:t xml:space="preserve">Hours Estimated</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bookkeeping and general ledger maintenance for all business entities operating in the United States New York City</w:t>
            </w:r>
          </w:p>
        </w:tc>
        <w:tc>
          <w:tcPr/>
          <w:p>
            <w:pPr>
              <w:pStyle w:val="Compact"/>
              <w:jc w:val="left"/>
            </w:pPr>
            <w:r>
              <w:t xml:space="preserve">Monthly (12x)</w:t>
            </w:r>
          </w:p>
        </w:tc>
        <w:tc>
          <w:tcPr/>
          <w:p>
            <w:pPr>
              <w:pStyle w:val="Compact"/>
              <w:jc w:val="left"/>
            </w:pPr>
            <w:r>
              <w:t xml:space="preserve">16 hrs/mo</w:t>
            </w:r>
          </w:p>
        </w:tc>
        <w:tc>
          <w:tcPr/>
          <w:p>
            <w:pPr>
              <w:pStyle w:val="Compact"/>
              <w:jc w:val="left"/>
            </w:pPr>
            <w:r>
              <w:t xml:space="preserve">$185.00</w:t>
            </w:r>
          </w:p>
        </w:tc>
        <w:tc>
          <w:tcPr/>
          <w:p>
            <w:pPr>
              <w:pStyle w:val="Compact"/>
              <w:jc w:val="left"/>
            </w:pPr>
            <w:r>
              <w:t xml:space="preserve">$35,520.00</w:t>
            </w:r>
          </w:p>
        </w:tc>
      </w:tr>
      <w:tr>
        <w:tc>
          <w:tcPr/>
          <w:p>
            <w:pPr>
              <w:pStyle w:val="Compact"/>
              <w:jc w:val="left"/>
            </w:pPr>
            <w:r>
              <w:t xml:space="preserve">2</w:t>
            </w:r>
          </w:p>
        </w:tc>
        <w:tc>
          <w:tcPr/>
          <w:p>
            <w:pPr>
              <w:pStyle w:val="Compact"/>
              <w:jc w:val="left"/>
            </w:pPr>
            <w:r>
              <w:t xml:space="preserve">Preparation and filing of federal income tax returns (Forms 1120, 1065) and New York State corporate tax returns (Form CT-3, CT-6)</w:t>
            </w:r>
          </w:p>
        </w:tc>
        <w:tc>
          <w:tcPr/>
          <w:p>
            <w:pPr>
              <w:pStyle w:val="Compact"/>
              <w:jc w:val="left"/>
            </w:pPr>
            <w:r>
              <w:t xml:space="preserve">Annual</w:t>
            </w:r>
          </w:p>
        </w:tc>
        <w:tc>
          <w:tcPr/>
          <w:p>
            <w:pPr>
              <w:pStyle w:val="Compact"/>
              <w:jc w:val="left"/>
            </w:pPr>
            <w:r>
              <w:t xml:space="preserve">40 hrs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New York City General Corporation Tax and MCT (Municipal Corporation Tax) filing and advisory</w:t>
            </w:r>
          </w:p>
        </w:tc>
        <w:tc>
          <w:tcPr/>
          <w:p>
            <w:pPr>
              <w:pStyle w:val="Compact"/>
              <w:jc w:val="left"/>
            </w:pPr>
            <w:r>
              <w:t xml:space="preserve">Annual</w:t>
            </w:r>
          </w:p>
        </w:tc>
        <w:tc>
          <w:tcPr/>
          <w:p>
            <w:pPr>
              <w:pStyle w:val="Compact"/>
              <w:jc w:val="left"/>
            </w:pPr>
            <w:r>
              <w:t xml:space="preserve">24 hrs</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Quarterly estimated tax payments and payroll tax compliance (NY State, NYC, and Federal)</w:t>
            </w:r>
          </w:p>
        </w:tc>
        <w:tc>
          <w:tcPr/>
          <w:p>
            <w:pPr>
              <w:pStyle w:val="Compact"/>
              <w:jc w:val="left"/>
            </w:pPr>
            <w:r>
              <w:t xml:space="preserve">Quarterly (4x)</w:t>
            </w:r>
          </w:p>
        </w:tc>
        <w:tc>
          <w:tcPr/>
          <w:p>
            <w:pPr>
              <w:pStyle w:val="Compact"/>
              <w:jc w:val="left"/>
            </w:pPr>
            <w:r>
              <w:t xml:space="preserve">12 hrs/qtr</w:t>
            </w:r>
          </w:p>
        </w:tc>
        <w:tc>
          <w:tcPr/>
          <w:p>
            <w:pPr>
              <w:pStyle w:val="Compact"/>
              <w:jc w:val="left"/>
            </w:pPr>
            <w:r>
              <w:t xml:space="preserve">$195.00</w:t>
            </w:r>
          </w:p>
        </w:tc>
        <w:tc>
          <w:tcPr/>
          <w:p>
            <w:pPr>
              <w:pStyle w:val="Compact"/>
              <w:jc w:val="left"/>
            </w:pPr>
            <w:r>
              <w:t xml:space="preserve">$9,360.00</w:t>
            </w:r>
          </w:p>
        </w:tc>
      </w:tr>
      <w:tr>
        <w:tc>
          <w:tcPr/>
          <w:p>
            <w:pPr>
              <w:pStyle w:val="Compact"/>
              <w:jc w:val="left"/>
            </w:pPr>
            <w:r>
              <w:t xml:space="preserve">5</w:t>
            </w:r>
          </w:p>
        </w:tc>
        <w:tc>
          <w:tcPr/>
          <w:p>
            <w:pPr>
              <w:pStyle w:val="Compact"/>
              <w:jc w:val="left"/>
            </w:pPr>
            <w:r>
              <w:t xml:space="preserve">Monthly financial statement preparation (Balance Sheet, Income Statement, Cash Flow) and management reporting</w:t>
            </w:r>
          </w:p>
        </w:tc>
        <w:tc>
          <w:tcPr/>
          <w:p>
            <w:pPr>
              <w:pStyle w:val="Compact"/>
              <w:jc w:val="left"/>
            </w:pPr>
            <w:r>
              <w:t xml:space="preserve">Monthly (12x)</w:t>
            </w:r>
          </w:p>
        </w:tc>
        <w:tc>
          <w:tcPr/>
          <w:p>
            <w:pPr>
              <w:pStyle w:val="Compact"/>
              <w:jc w:val="left"/>
            </w:pPr>
            <w:r>
              <w:t xml:space="preserve">8 hrs/mo</w:t>
            </w:r>
          </w:p>
        </w:tc>
        <w:tc>
          <w:tcPr/>
          <w:p>
            <w:pPr>
              <w:pStyle w:val="Compact"/>
              <w:jc w:val="left"/>
            </w:pPr>
            <w:r>
              <w:t xml:space="preserve">$195.00</w:t>
            </w:r>
          </w:p>
        </w:tc>
        <w:tc>
          <w:tcPr/>
          <w:p>
            <w:pPr>
              <w:pStyle w:val="Compact"/>
              <w:jc w:val="left"/>
            </w:pPr>
            <w:r>
              <w:t xml:space="preserve">$18,720.00</w:t>
            </w:r>
          </w:p>
        </w:tc>
      </w:tr>
      <w:tr>
        <w:tc>
          <w:tcPr/>
          <w:p>
            <w:pPr>
              <w:pStyle w:val="Compact"/>
              <w:jc w:val="left"/>
            </w:pPr>
            <w:r>
              <w:t xml:space="preserve">6</w:t>
            </w:r>
          </w:p>
        </w:tc>
        <w:tc>
          <w:tcPr/>
          <w:p>
            <w:pPr>
              <w:pStyle w:val="Compact"/>
              <w:jc w:val="left"/>
            </w:pPr>
            <w:r>
              <w:t xml:space="preserve">Annual audit or review of financial statements in accordance with GAAP and AICPA standards</w:t>
            </w:r>
          </w:p>
        </w:tc>
        <w:tc>
          <w:tcPr/>
          <w:p>
            <w:pPr>
              <w:pStyle w:val="Compact"/>
              <w:jc w:val="left"/>
            </w:pPr>
            <w:r>
              <w:t xml:space="preserve">Annual</w:t>
            </w:r>
          </w:p>
        </w:tc>
        <w:tc>
          <w:tcPr/>
          <w:p>
            <w:pPr>
              <w:pStyle w:val="Compact"/>
              <w:jc w:val="left"/>
            </w:pPr>
            <w:r>
              <w:t xml:space="preserve">60 hrs</w:t>
            </w:r>
          </w:p>
        </w:tc>
        <w:tc>
          <w:tcPr/>
          <w:p>
            <w:pPr>
              <w:pStyle w:val="Compact"/>
              <w:jc w:val="left"/>
            </w:pPr>
            <w:r>
              <w:t xml:space="preserve">$225.00</w:t>
            </w:r>
          </w:p>
        </w:tc>
        <w:tc>
          <w:tcPr/>
          <w:p>
            <w:pPr>
              <w:pStyle w:val="Compact"/>
              <w:jc w:val="left"/>
            </w:pPr>
            <w:r>
              <w:t xml:space="preserve">$13,500.00</w:t>
            </w:r>
          </w:p>
        </w:tc>
      </w:tr>
      <w:tr>
        <w:tc>
          <w:tcPr/>
          <w:p>
            <w:pPr>
              <w:pStyle w:val="Compact"/>
              <w:jc w:val="left"/>
            </w:pPr>
            <w:r>
              <w:t xml:space="preserve">7</w:t>
            </w:r>
          </w:p>
        </w:tc>
        <w:tc>
          <w:tcPr/>
          <w:p>
            <w:pPr>
              <w:pStyle w:val="Compact"/>
              <w:jc w:val="left"/>
            </w:pPr>
            <w:r>
              <w:t xml:space="preserve">Payroll processing, W-2/1099 preparation, and NY State unemployment insurance filings</w:t>
            </w:r>
          </w:p>
        </w:tc>
        <w:tc>
          <w:tcPr/>
          <w:p>
            <w:pPr>
              <w:pStyle w:val="Compact"/>
              <w:jc w:val="left"/>
            </w:pPr>
            <w:r>
              <w:t xml:space="preserve">Monthly (12x)</w:t>
            </w:r>
          </w:p>
        </w:tc>
        <w:tc>
          <w:tcPr/>
          <w:p>
            <w:pPr>
              <w:pStyle w:val="Compact"/>
              <w:jc w:val="left"/>
            </w:pPr>
            <w:r>
              <w:t xml:space="preserve">6 hrs/mo</w:t>
            </w:r>
          </w:p>
        </w:tc>
        <w:tc>
          <w:tcPr/>
          <w:p>
            <w:pPr>
              <w:pStyle w:val="Compact"/>
              <w:jc w:val="left"/>
            </w:pPr>
            <w:r>
              <w:t xml:space="preserve">$175.00</w:t>
            </w:r>
          </w:p>
        </w:tc>
        <w:tc>
          <w:tcPr/>
          <w:p>
            <w:pPr>
              <w:pStyle w:val="Compact"/>
              <w:jc w:val="left"/>
            </w:pPr>
            <w:r>
              <w:t xml:space="preserve">$12,600.00</w:t>
            </w:r>
          </w:p>
        </w:tc>
      </w:tr>
      <w:tr>
        <w:tc>
          <w:tcPr/>
          <w:p>
            <w:pPr>
              <w:pStyle w:val="Compact"/>
              <w:jc w:val="left"/>
            </w:pPr>
            <w:r>
              <w:t xml:space="preserve">8</w:t>
            </w:r>
          </w:p>
        </w:tc>
        <w:tc>
          <w:tcPr/>
          <w:p>
            <w:pPr>
              <w:pStyle w:val="Compact"/>
              <w:jc w:val="left"/>
            </w:pPr>
            <w:r>
              <w:t xml:space="preserve">Tax planning and advisory sessions specific to United States New York City business operations and incentives</w:t>
            </w:r>
          </w:p>
        </w:tc>
        <w:tc>
          <w:tcPr/>
          <w:p>
            <w:pPr>
              <w:pStyle w:val="Compact"/>
              <w:jc w:val="left"/>
            </w:pPr>
            <w:r>
              <w:t xml:space="preserve">Quarterly (4x)</w:t>
            </w:r>
          </w:p>
        </w:tc>
        <w:tc>
          <w:tcPr/>
          <w:p>
            <w:pPr>
              <w:pStyle w:val="Compact"/>
              <w:jc w:val="left"/>
            </w:pPr>
            <w:r>
              <w:t xml:space="preserve">4 hrs/qtr</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9</w:t>
            </w:r>
          </w:p>
        </w:tc>
        <w:tc>
          <w:tcPr/>
          <w:p>
            <w:pPr>
              <w:pStyle w:val="Compact"/>
              <w:jc w:val="left"/>
            </w:pPr>
            <w:r>
              <w:t xml:space="preserve">Accounts receivable and accounts payable management, vendor reconciliation</w:t>
            </w:r>
          </w:p>
        </w:tc>
        <w:tc>
          <w:tcPr/>
          <w:p>
            <w:pPr>
              <w:pStyle w:val="Compact"/>
              <w:jc w:val="left"/>
            </w:pPr>
            <w:r>
              <w:t xml:space="preserve">Monthly (12x)</w:t>
            </w:r>
          </w:p>
        </w:tc>
        <w:tc>
          <w:tcPr/>
          <w:p>
            <w:pPr>
              <w:pStyle w:val="Compact"/>
              <w:jc w:val="left"/>
            </w:pPr>
            <w:r>
              <w:t xml:space="preserve">10 hrs/mo</w:t>
            </w:r>
          </w:p>
        </w:tc>
        <w:tc>
          <w:tcPr/>
          <w:p>
            <w:pPr>
              <w:pStyle w:val="Compact"/>
              <w:jc w:val="left"/>
            </w:pPr>
            <w:r>
              <w:t xml:space="preserve">$175.00</w:t>
            </w:r>
          </w:p>
        </w:tc>
        <w:tc>
          <w:tcPr/>
          <w:p>
            <w:pPr>
              <w:pStyle w:val="Compact"/>
              <w:jc w:val="left"/>
            </w:pPr>
            <w:r>
              <w:t xml:space="preserve">$21,000.00</w:t>
            </w:r>
          </w:p>
        </w:tc>
      </w:tr>
      <w:tr>
        <w:tc>
          <w:tcPr/>
          <w:p>
            <w:pPr>
              <w:pStyle w:val="Compact"/>
              <w:jc w:val="left"/>
            </w:pPr>
            <w:r>
              <w:t xml:space="preserve">10</w:t>
            </w:r>
          </w:p>
        </w:tc>
        <w:tc>
          <w:tcPr/>
          <w:p>
            <w:pPr>
              <w:pStyle w:val="Compact"/>
              <w:jc w:val="left"/>
            </w:pPr>
            <w:r>
              <w:t xml:space="preserve">Annual business tax health check and compliance review for all NYC and NY State obligations</w:t>
            </w:r>
          </w:p>
        </w:tc>
        <w:tc>
          <w:tcPr/>
          <w:p>
            <w:pPr>
              <w:pStyle w:val="Compact"/>
              <w:jc w:val="left"/>
            </w:pPr>
            <w:r>
              <w:t xml:space="preserve">Annual</w:t>
            </w:r>
          </w:p>
        </w:tc>
        <w:tc>
          <w:tcPr/>
          <w:p>
            <w:pPr>
              <w:pStyle w:val="Compact"/>
              <w:jc w:val="left"/>
            </w:pPr>
            <w:r>
              <w:t xml:space="preserve">16 hrs</w:t>
            </w:r>
          </w:p>
        </w:tc>
        <w:tc>
          <w:tcPr/>
          <w:p>
            <w:pPr>
              <w:pStyle w:val="Compact"/>
              <w:jc w:val="left"/>
            </w:pPr>
            <w:r>
              <w:t xml:space="preserve">$225.00</w:t>
            </w:r>
          </w:p>
        </w:tc>
        <w:tc>
          <w:tcPr/>
          <w:p>
            <w:pPr>
              <w:pStyle w:val="Compact"/>
              <w:jc w:val="left"/>
            </w:pPr>
            <w:r>
              <w:t xml:space="preserve">$3,600.00</w:t>
            </w:r>
          </w:p>
        </w:tc>
      </w:tr>
      <w:tr>
        <w:tc>
          <w:tcPr>
            <w:gridSpan w:val="5"/>
          </w:tcPr>
          <w:p>
            <w:pPr>
              <w:pStyle w:val="Compact"/>
              <w:jc w:val="right"/>
            </w:pPr>
            <w:r>
              <w:t xml:space="preserve">Subtotal (Annual)</w:t>
            </w:r>
          </w:p>
        </w:tc>
        <w:tc>
          <w:tcPr/>
          <w:p>
            <w:pPr>
              <w:pStyle w:val="Compact"/>
              <w:jc w:val="left"/>
            </w:pPr>
            <w:r>
              <w:t xml:space="preserve">$131,740.00</w:t>
            </w:r>
          </w:p>
        </w:tc>
      </w:tr>
      <w:tr>
        <w:tc>
          <w:tcPr>
            <w:gridSpan w:val="5"/>
          </w:tcPr>
          <w:p>
            <w:pPr>
              <w:pStyle w:val="Compact"/>
              <w:jc w:val="right"/>
            </w:pPr>
            <w:r>
              <w:t xml:space="preserve">Applicable New York State Sales Tax (8.875%)</w:t>
            </w:r>
          </w:p>
        </w:tc>
        <w:tc>
          <w:tcPr/>
          <w:p>
            <w:pPr>
              <w:pStyle w:val="Compact"/>
              <w:jc w:val="left"/>
            </w:pPr>
            <w:r>
              <w:t xml:space="preserve">$11,692.00</w:t>
            </w:r>
          </w:p>
        </w:tc>
      </w:tr>
      <w:tr>
        <w:tc>
          <w:tcPr>
            <w:gridSpan w:val="5"/>
          </w:tcPr>
          <w:p>
            <w:pPr>
              <w:pStyle w:val="Compact"/>
              <w:jc w:val="right"/>
            </w:pPr>
            <w:r>
              <w:t xml:space="preserve">New York City Sales Tax (4.625%)</w:t>
            </w:r>
          </w:p>
        </w:tc>
        <w:tc>
          <w:tcPr/>
          <w:p>
            <w:pPr>
              <w:pStyle w:val="Compact"/>
              <w:jc w:val="left"/>
            </w:pPr>
            <w:r>
              <w:t xml:space="preserve">$6,093.00</w:t>
            </w:r>
          </w:p>
        </w:tc>
      </w:tr>
      <w:tr>
        <w:tc>
          <w:tcPr>
            <w:gridSpan w:val="5"/>
          </w:tcPr>
          <w:p>
            <w:pPr>
              <w:pStyle w:val="Compact"/>
              <w:jc w:val="right"/>
            </w:pPr>
            <w:r>
              <w:t xml:space="preserve">Metro Tax (0.3%)</w:t>
            </w:r>
          </w:p>
        </w:tc>
        <w:tc>
          <w:tcPr/>
          <w:p>
            <w:pPr>
              <w:pStyle w:val="Compact"/>
              <w:jc w:val="left"/>
            </w:pPr>
            <w:r>
              <w:t xml:space="preserve">$395.00</w:t>
            </w:r>
          </w:p>
        </w:tc>
      </w:tr>
      <w:tr>
        <w:tc>
          <w:tcPr>
            <w:gridSpan w:val="5"/>
          </w:tcPr>
          <w:p>
            <w:pPr>
              <w:pStyle w:val="Compact"/>
              <w:jc w:val="right"/>
            </w:pPr>
            <w:r>
              <w:rPr>
                <w:bCs/>
                <w:b/>
              </w:rPr>
              <w:t xml:space="preserve">TOTAL ESTIMATED ANNUAL COST</w:t>
            </w:r>
          </w:p>
        </w:tc>
        <w:tc>
          <w:tcPr/>
          <w:p>
            <w:pPr>
              <w:pStyle w:val="Compact"/>
              <w:jc w:val="left"/>
            </w:pPr>
            <w:r>
              <w:rPr>
                <w:bCs/>
                <w:b/>
              </w:rPr>
              <w:t xml:space="preserve">$149,920.00</w:t>
            </w:r>
          </w:p>
        </w:tc>
      </w:tr>
    </w:tbl>
    <w:p>
      <w:pPr>
        <w:pStyle w:val="BodyText"/>
      </w:pPr>
      <w:r>
        <w:rPr>
          <w:bCs/>
          <w:b/>
        </w:rPr>
        <w:t xml:space="preserve">Note:</w:t>
      </w:r>
      <w:r>
        <w:t xml:space="preserve"> </w:t>
      </w:r>
      <w:r>
        <w:t xml:space="preserve">This Quotation Estimate reflects standard professional Accountant rates for services delivered within the United States New York City metropolitan area. All rates are subject to annual adjustment based on the New York City Consumer Price Index. Additional services not listed above, including but not limited to IRS or NY State tax audit representation, business formation, or forensic accounting, will be quoted separately at prevailing rates.</w:t>
      </w:r>
    </w:p>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shall remain valid for a period of thirty (30) calendar days from the date of issue. After the expiration date, all rates and terms are subject to revision without prior notice.</w:t>
      </w:r>
    </w:p>
    <w:p>
      <w:pPr>
        <w:numPr>
          <w:ilvl w:val="0"/>
          <w:numId w:val="1001"/>
        </w:numPr>
        <w:pStyle w:val="Compact"/>
      </w:pPr>
      <w:r>
        <w:rPr>
          <w:bCs/>
          <w:b/>
        </w:rPr>
        <w:t xml:space="preserve">2. Payment Terms:</w:t>
      </w:r>
      <w:r>
        <w:t xml:space="preserve"> </w:t>
      </w:r>
      <w:r>
        <w:t xml:space="preserve">Invoices for Accountant services will be issued on a monthly basis, due within thirty (30) days of the invoice date. Late payments shall accrue interest at a rate of 1.5% per month or the maximum rate permitted under New York State law, whichever is lower.</w:t>
      </w:r>
    </w:p>
    <w:p>
      <w:pPr>
        <w:numPr>
          <w:ilvl w:val="0"/>
          <w:numId w:val="1001"/>
        </w:numPr>
        <w:pStyle w:val="Compact"/>
      </w:pPr>
      <w:r>
        <w:rPr>
          <w:bCs/>
          <w:b/>
        </w:rPr>
        <w:t xml:space="preserve">3. Scope Limitations:</w:t>
      </w:r>
      <w:r>
        <w:t xml:space="preserve"> </w:t>
      </w:r>
      <w:r>
        <w:t xml:space="preserve">The services described in this Quotation Estimate are limited to the items explicitly listed in the table above. Any additional Accountant services requested by the client beyond the stated scope will require a written amendment to this Quotation Estimate and a revised fee schedule.</w:t>
      </w:r>
    </w:p>
    <w:p>
      <w:pPr>
        <w:numPr>
          <w:ilvl w:val="0"/>
          <w:numId w:val="1001"/>
        </w:numPr>
        <w:pStyle w:val="Compact"/>
      </w:pPr>
      <w:r>
        <w:rPr>
          <w:bCs/>
          <w:b/>
        </w:rPr>
        <w:t xml:space="preserve">4. Client Responsibilities:</w:t>
      </w:r>
      <w:r>
        <w:t xml:space="preserve"> </w:t>
      </w:r>
      <w:r>
        <w:t xml:space="preserve">The client agrees to provide all necessary financial documents, records, and access to accounting systems in a timely manner. Delays in providing documentation may result in additional billing at the applicable hourly rate.</w:t>
      </w:r>
    </w:p>
    <w:p>
      <w:pPr>
        <w:numPr>
          <w:ilvl w:val="0"/>
          <w:numId w:val="1001"/>
        </w:numPr>
        <w:pStyle w:val="Compact"/>
      </w:pPr>
      <w:r>
        <w:rPr>
          <w:bCs/>
          <w:b/>
        </w:rPr>
        <w:t xml:space="preserve">5. Confidentiality:</w:t>
      </w:r>
      <w:r>
        <w:t xml:space="preserve"> </w:t>
      </w:r>
      <w:r>
        <w:t xml:space="preserve">All financial information, tax returns, and business records shared in connection with these Accountant services shall be treated as strictly confidential in accordance with the New York State Accountancy Act and applicable federal privacy regulations.</w:t>
      </w:r>
    </w:p>
    <w:p>
      <w:pPr>
        <w:numPr>
          <w:ilvl w:val="0"/>
          <w:numId w:val="1001"/>
        </w:numPr>
        <w:pStyle w:val="Compact"/>
      </w:pPr>
      <w:r>
        <w:rPr>
          <w:bCs/>
          <w:b/>
        </w:rPr>
        <w:t xml:space="preserve">6. Termination:</w:t>
      </w:r>
      <w:r>
        <w:t xml:space="preserve"> </w:t>
      </w:r>
      <w:r>
        <w:t xml:space="preserve">Either party may terminate the engagement with sixty (60) days written notice. Upon termination, all outstanding fees for services rendered through the termination date shall be due and payable.</w:t>
      </w:r>
    </w:p>
    <w:p>
      <w:pPr>
        <w:numPr>
          <w:ilvl w:val="0"/>
          <w:numId w:val="1001"/>
        </w:numPr>
        <w:pStyle w:val="Compact"/>
      </w:pPr>
      <w:r>
        <w:rPr>
          <w:bCs/>
          <w:b/>
        </w:rPr>
        <w:t xml:space="preserve">7. Governing Law:</w:t>
      </w:r>
      <w:r>
        <w:t xml:space="preserve"> </w:t>
      </w:r>
      <w:r>
        <w:t xml:space="preserve">This Quotation Estimate and any resulting engagement shall be governed by and construed in accordance with the laws of the State of New York, with jurisdiction in the courts of the United States New York City.</w:t>
      </w:r>
    </w:p>
    <w:p>
      <w:pPr>
        <w:numPr>
          <w:ilvl w:val="0"/>
          <w:numId w:val="1001"/>
        </w:numPr>
        <w:pStyle w:val="Compact"/>
      </w:pPr>
      <w:r>
        <w:rPr>
          <w:bCs/>
          <w:b/>
        </w:rPr>
        <w:t xml:space="preserve">8. Professional Standards:</w:t>
      </w:r>
      <w:r>
        <w:t xml:space="preserve"> </w:t>
      </w:r>
      <w:r>
        <w:t xml:space="preserve">All Accountant services shall be performed in accordance with Generally Accepted Accounting Principles (GAAP), the AICPA Code of Professional Conduct, and all applicable New York State and federal tax regulations.</w:t>
      </w:r>
    </w:p>
    <w:p>
      <w:pPr>
        <w:numPr>
          <w:ilvl w:val="0"/>
          <w:numId w:val="1001"/>
        </w:numPr>
        <w:pStyle w:val="Compact"/>
      </w:pPr>
      <w:r>
        <w:rPr>
          <w:bCs/>
          <w:b/>
        </w:rPr>
        <w:t xml:space="preserve">9. Insurance:</w:t>
      </w:r>
      <w:r>
        <w:t xml:space="preserve"> </w:t>
      </w:r>
      <w:r>
        <w:t xml:space="preserve">Meridian Accounting &amp; Financial Advisory Group, LLP maintains professional liability insurance with a minimum coverage of $5,000,000 per occurrence, as required for Accountant firms operating in the United States New York City.</w:t>
      </w:r>
    </w:p>
    <w:p>
      <w:pPr>
        <w:pStyle w:val="FirstParagraph"/>
      </w:pPr>
      <w:r>
        <w:t xml:space="preserve">Acceptance and Authorization</w:t>
      </w:r>
    </w:p>
    <w:p>
      <w:pPr>
        <w:pStyle w:val="BodyText"/>
      </w:pPr>
      <w:r>
        <w:t xml:space="preserve">By signing below, the client acknowledges receipt of this Quotation Estimate and agrees to the terms, conditions, and fee structure outlined herein for the provision of Accountant services within the United States New York City. This signature constitutes a binding agreement for the services described.</w:t>
      </w:r>
    </w:p>
    <w:p>
      <w:pPr>
        <w:pStyle w:val="BodyText"/>
      </w:pPr>
      <w:r>
        <w:rPr>
          <w:bCs/>
          <w:b/>
        </w:rPr>
        <w:t xml:space="preserve">For Meridian Accounting &amp; Financial Advisory Group, LLP</w:t>
      </w:r>
    </w:p>
    <w:p>
      <w:pPr>
        <w:pStyle w:val="BodyText"/>
      </w:pPr>
      <w:r>
        <w:t xml:space="preserve">Daniel R. Whitfield, CPA, CGMA</w:t>
      </w:r>
    </w:p>
    <w:p>
      <w:pPr>
        <w:pStyle w:val="BodyText"/>
      </w:pPr>
      <w:r>
        <w:t xml:space="preserve">Managing Partner</w:t>
      </w:r>
    </w:p>
    <w:p>
      <w:pPr>
        <w:pStyle w:val="BodyText"/>
      </w:pPr>
      <w:r>
        <w:t xml:space="preserve">Date: ______________________</w:t>
      </w:r>
    </w:p>
    <w:p>
      <w:pPr>
        <w:pStyle w:val="BodyText"/>
      </w:pPr>
      <w:r>
        <w:rPr>
          <w:bCs/>
          <w:b/>
        </w:rPr>
        <w:t xml:space="preserve">For Harborview Logistics &amp; Distribution, Inc.</w:t>
      </w:r>
    </w:p>
    <w:p>
      <w:pPr>
        <w:pStyle w:val="BodyText"/>
      </w:pPr>
      <w:r>
        <w:t xml:space="preserve">Angela Torres, CFO</w:t>
      </w:r>
    </w:p>
    <w:p>
      <w:pPr>
        <w:pStyle w:val="BodyText"/>
      </w:pPr>
      <w:r>
        <w:t xml:space="preserve">Authorized Representative</w:t>
      </w:r>
    </w:p>
    <w:p>
      <w:pPr>
        <w:pStyle w:val="BodyText"/>
      </w:pPr>
      <w:r>
        <w:t xml:space="preserve">Date: ______________________</w:t>
      </w:r>
    </w:p>
    <w:p>
      <w:pPr>
        <w:pStyle w:val="BodyText"/>
      </w:pPr>
      <w:r>
        <w:t xml:space="preserve">Meridian Accounting &amp; Financial Advisory Group, LLP | 350 Fifth Avenue, Suite 4200, New York, NY 10118 | United States New York City</w:t>
      </w:r>
    </w:p>
    <w:p>
      <w:pPr>
        <w:pStyle w:val="BodyText"/>
      </w:pPr>
      <w:r>
        <w:t xml:space="preserve">Quotation Estimate No. QTE-2025-NYC-04872 | Page 1 of 1 | This document is a Quotation Estimate and does not constitute a final invoice until services are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States New York City</dc:title>
  <dc:creator/>
  <dc:language>en</dc:language>
  <cp:keywords/>
  <dcterms:created xsi:type="dcterms:W3CDTF">2026-10-10T09:23:28Z</dcterms:created>
  <dcterms:modified xsi:type="dcterms:W3CDTF">2026-10-10T09:23:28Z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