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Golden Gate Accounting &amp; Advisory Group, LLC</w:t>
      </w:r>
    </w:p>
    <w:p>
      <w:pPr>
        <w:pStyle w:val="BodyText"/>
      </w:pPr>
      <w:r>
        <w:t xml:space="preserve">1200 Market Street, Suite 4500, San Francisco, CA 94102, United States</w:t>
      </w:r>
    </w:p>
    <w:p>
      <w:pPr>
        <w:pStyle w:val="BodyText"/>
      </w:pPr>
      <w:r>
        <w:t xml:space="preserve">Phone: (415) 555-0187 | Email: estimates@ggaccounting.com</w:t>
      </w:r>
    </w:p>
    <w:p>
      <w:pPr>
        <w:pStyle w:val="BodyText"/>
      </w:pPr>
      <w:r>
        <w:t xml:space="preserve">CA Board of Accountancy License No. 2847561 | EIN: 94-2847561</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Crest Ventures, Inc.</w:t>
      </w:r>
    </w:p>
    <w:p>
      <w:pPr>
        <w:pStyle w:val="BodyText"/>
      </w:pPr>
      <w:r>
        <w:rPr>
          <w:bCs/>
          <w:b/>
        </w:rPr>
        <w:t xml:space="preserve">Client Address:</w:t>
      </w:r>
      <w:r>
        <w:t xml:space="preserve"> </w:t>
      </w:r>
      <w:r>
        <w:t xml:space="preserve">785 Mission Street, Floor 22, San Francisco, CA 94105</w:t>
      </w:r>
    </w:p>
    <w:p>
      <w:pPr>
        <w:pStyle w:val="BodyText"/>
      </w:pPr>
      <w:r>
        <w:rPr>
          <w:bCs/>
          <w:b/>
        </w:rPr>
        <w:t xml:space="preserve">Client Contact:</w:t>
      </w:r>
      <w:r>
        <w:t xml:space="preserve"> </w:t>
      </w:r>
      <w:r>
        <w:t xml:space="preserve">Ms. Elena Rodriguez, CFO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Golden Gate Accounting &amp; Advisory Group, LLC to provide Pacific Crest Ventures, Inc. with a comprehensive and transparent breakdown of professional</w:t>
      </w:r>
      <w:r>
        <w:t xml:space="preserve"> </w:t>
      </w:r>
      <w:r>
        <w:t xml:space="preserve">Accountant</w:t>
      </w:r>
      <w:r>
        <w:t xml:space="preserve"> </w:t>
      </w:r>
      <w:r>
        <w:t xml:space="preserve">services to be rendered within the jurisdiction of</w:t>
      </w:r>
      <w:r>
        <w:t xml:space="preserve"> </w:t>
      </w:r>
      <w:r>
        <w:t xml:space="preserve">United States San Francisco</w:t>
      </w:r>
      <w:r>
        <w:t xml:space="preserve">. This estimate covers the full fiscal year 2025–2026 engagement period and is structured in accordance with the California Board of Accountancy regulations and the American Institute of Certified Public Accountants (AICPA) professional standards. All pricing reflects current market rates applicable to the San Francisco metropolitan area and accounts for the specific regulatory environment of the State of California and the United States federal tax code.</w:t>
      </w:r>
    </w:p>
    <w:bookmarkEnd w:id="21"/>
    <w:bookmarkStart w:id="22" w:name="scope-of-accountant-services"/>
    <w:p>
      <w:pPr>
        <w:pStyle w:val="Heading2"/>
      </w:pPr>
      <w:r>
        <w:t xml:space="preserve">2. Scope of Accountant Services</w:t>
      </w:r>
    </w:p>
    <w:p>
      <w:pPr>
        <w:pStyle w:val="FirstParagraph"/>
      </w:pPr>
      <w:r>
        <w:t xml:space="preserve">The following professional</w:t>
      </w:r>
      <w:r>
        <w:t xml:space="preserve"> </w:t>
      </w:r>
      <w:r>
        <w:t xml:space="preserve">Accountant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United States San Francisco</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Monthly bookkeeping and general ledger maintenance, including accounts payable and receivable reconciliation for all business entities operating in San Francisco, CA</w:t>
            </w:r>
          </w:p>
        </w:tc>
        <w:tc>
          <w:tcPr/>
          <w:p>
            <w:pPr>
              <w:pStyle w:val="Compact"/>
              <w:jc w:val="left"/>
            </w:pPr>
            <w:r>
              <w:t xml:space="preserve">Monthly (12x)</w:t>
            </w:r>
          </w:p>
        </w:tc>
        <w:tc>
          <w:tcPr/>
          <w:p>
            <w:pPr>
              <w:pStyle w:val="Compact"/>
              <w:jc w:val="left"/>
            </w:pPr>
            <w:r>
              <w:t xml:space="preserve">16 hrs/mo</w:t>
            </w:r>
          </w:p>
        </w:tc>
        <w:tc>
          <w:tcPr/>
          <w:p>
            <w:pPr>
              <w:pStyle w:val="Compact"/>
              <w:jc w:val="left"/>
            </w:pPr>
            <w:r>
              <w:t xml:space="preserve">$185.00</w:t>
            </w:r>
          </w:p>
        </w:tc>
        <w:tc>
          <w:tcPr/>
          <w:p>
            <w:pPr>
              <w:pStyle w:val="Compact"/>
              <w:jc w:val="left"/>
            </w:pPr>
            <w:r>
              <w:t xml:space="preserve">$35,520.00</w:t>
            </w:r>
          </w:p>
        </w:tc>
      </w:tr>
      <w:tr>
        <w:tc>
          <w:tcPr/>
          <w:p>
            <w:pPr>
              <w:pStyle w:val="Compact"/>
              <w:jc w:val="left"/>
            </w:pPr>
            <w:r>
              <w:t xml:space="preserve">2</w:t>
            </w:r>
          </w:p>
        </w:tc>
        <w:tc>
          <w:tcPr/>
          <w:p>
            <w:pPr>
              <w:pStyle w:val="Compact"/>
              <w:jc w:val="left"/>
            </w:pPr>
            <w:r>
              <w:t xml:space="preserve">Preparation and filing of federal (IRS Form 1120) and California state (FTB Form 100) corporate income tax returns, including all applicable San Francisco city and county tax obligations</w:t>
            </w:r>
          </w:p>
        </w:tc>
        <w:tc>
          <w:tcPr/>
          <w:p>
            <w:pPr>
              <w:pStyle w:val="Compact"/>
              <w:jc w:val="left"/>
            </w:pPr>
            <w:r>
              <w:t xml:space="preserve">Annual (1x)</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Quarterly estimated tax calculations and filings (Form 1120-W and CA FTB 3522) to ensure compliance with United States San Francisco tax authorities</w:t>
            </w:r>
          </w:p>
        </w:tc>
        <w:tc>
          <w:tcPr/>
          <w:p>
            <w:pPr>
              <w:pStyle w:val="Compact"/>
              <w:jc w:val="left"/>
            </w:pPr>
            <w:r>
              <w:t xml:space="preserve">Quarterly (4x)</w:t>
            </w:r>
          </w:p>
        </w:tc>
        <w:tc>
          <w:tcPr/>
          <w:p>
            <w:pPr>
              <w:pStyle w:val="Compact"/>
              <w:jc w:val="left"/>
            </w:pPr>
            <w:r>
              <w:t xml:space="preserve">12 hrs/qtr</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Monthly financial statement preparation (Balance Sheet, Income Statement, Cash Flow Statement) and variance analysis reports delivered to the CFO</w:t>
            </w:r>
          </w:p>
        </w:tc>
        <w:tc>
          <w:tcPr/>
          <w:p>
            <w:pPr>
              <w:pStyle w:val="Compact"/>
              <w:jc w:val="left"/>
            </w:pPr>
            <w:r>
              <w:t xml:space="preserve">Monthly (12x)</w:t>
            </w:r>
          </w:p>
        </w:tc>
        <w:tc>
          <w:tcPr/>
          <w:p>
            <w:pPr>
              <w:pStyle w:val="Compact"/>
              <w:jc w:val="left"/>
            </w:pPr>
            <w:r>
              <w:t xml:space="preserve">8 hrs/mo</w:t>
            </w:r>
          </w:p>
        </w:tc>
        <w:tc>
          <w:tcPr/>
          <w:p>
            <w:pPr>
              <w:pStyle w:val="Compact"/>
              <w:jc w:val="left"/>
            </w:pPr>
            <w:r>
              <w:t xml:space="preserve">$195.00</w:t>
            </w:r>
          </w:p>
        </w:tc>
        <w:tc>
          <w:tcPr/>
          <w:p>
            <w:pPr>
              <w:pStyle w:val="Compact"/>
              <w:jc w:val="left"/>
            </w:pPr>
            <w:r>
              <w:t xml:space="preserve">$18,720.00</w:t>
            </w:r>
          </w:p>
        </w:tc>
      </w:tr>
      <w:tr>
        <w:tc>
          <w:tcPr/>
          <w:p>
            <w:pPr>
              <w:pStyle w:val="Compact"/>
              <w:jc w:val="left"/>
            </w:pPr>
            <w:r>
              <w:t xml:space="preserve">5</w:t>
            </w:r>
          </w:p>
        </w:tc>
        <w:tc>
          <w:tcPr/>
          <w:p>
            <w:pPr>
              <w:pStyle w:val="Compact"/>
              <w:jc w:val="left"/>
            </w:pPr>
            <w:r>
              <w:t xml:space="preserve">Payroll processing and compliance for up to 75 employees, including CA EDD reporting, San Francisco minimum wage tracking, and federal FICA/FUTA remittances</w:t>
            </w:r>
          </w:p>
        </w:tc>
        <w:tc>
          <w:tcPr/>
          <w:p>
            <w:pPr>
              <w:pStyle w:val="Compact"/>
              <w:jc w:val="left"/>
            </w:pPr>
            <w:r>
              <w:t xml:space="preserve">Bi-weekly (26x)</w:t>
            </w:r>
          </w:p>
        </w:tc>
        <w:tc>
          <w:tcPr/>
          <w:p>
            <w:pPr>
              <w:pStyle w:val="Compact"/>
              <w:jc w:val="left"/>
            </w:pPr>
            <w:r>
              <w:t xml:space="preserve">6 hrs/cycle</w:t>
            </w:r>
          </w:p>
        </w:tc>
        <w:tc>
          <w:tcPr/>
          <w:p>
            <w:pPr>
              <w:pStyle w:val="Compact"/>
              <w:jc w:val="left"/>
            </w:pPr>
            <w:r>
              <w:t xml:space="preserve">$175.00</w:t>
            </w:r>
          </w:p>
        </w:tc>
        <w:tc>
          <w:tcPr/>
          <w:p>
            <w:pPr>
              <w:pStyle w:val="Compact"/>
              <w:jc w:val="left"/>
            </w:pPr>
            <w:r>
              <w:t xml:space="preserve">$27,300.00</w:t>
            </w:r>
          </w:p>
        </w:tc>
      </w:tr>
      <w:tr>
        <w:tc>
          <w:tcPr/>
          <w:p>
            <w:pPr>
              <w:pStyle w:val="Compact"/>
              <w:jc w:val="left"/>
            </w:pPr>
            <w:r>
              <w:t xml:space="preserve">6</w:t>
            </w:r>
          </w:p>
        </w:tc>
        <w:tc>
          <w:tcPr/>
          <w:p>
            <w:pPr>
              <w:pStyle w:val="Compact"/>
              <w:jc w:val="left"/>
            </w:pPr>
            <w:r>
              <w:t xml:space="preserve">Annual audit support, internal control review, and SOX 404 readiness assessment for the fiscal year ending December 31, 2025</w:t>
            </w:r>
          </w:p>
        </w:tc>
        <w:tc>
          <w:tcPr/>
          <w:p>
            <w:pPr>
              <w:pStyle w:val="Compact"/>
              <w:jc w:val="left"/>
            </w:pPr>
            <w:r>
              <w:t xml:space="preserve">Annual (1x)</w:t>
            </w:r>
          </w:p>
        </w:tc>
        <w:tc>
          <w:tcPr/>
          <w:p>
            <w:pPr>
              <w:pStyle w:val="Compact"/>
              <w:jc w:val="left"/>
            </w:pPr>
            <w:r>
              <w:t xml:space="preserve">60 hrs</w:t>
            </w:r>
          </w:p>
        </w:tc>
        <w:tc>
          <w:tcPr/>
          <w:p>
            <w:pPr>
              <w:pStyle w:val="Compact"/>
              <w:jc w:val="left"/>
            </w:pPr>
            <w:r>
              <w:t xml:space="preserve">$225.00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Tax planning and advisory sessions with a senior Accountant specializing in California and federal tax strategy, including R&amp;D credit optimization under IRC Section 41</w:t>
            </w:r>
          </w:p>
        </w:tc>
        <w:tc>
          <w:tcPr/>
          <w:p>
            <w:pPr>
              <w:pStyle w:val="Compact"/>
              <w:jc w:val="left"/>
            </w:pPr>
            <w:r>
              <w:t xml:space="preserve">Quarterly (4x)</w:t>
            </w:r>
          </w:p>
        </w:tc>
        <w:tc>
          <w:tcPr/>
          <w:p>
            <w:pPr>
              <w:pStyle w:val="Compact"/>
              <w:jc w:val="left"/>
            </w:pPr>
            <w:r>
              <w:t xml:space="preserve">4 hrs/sess</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Annual business license renewal, San Francisco Certificate of Occupancy compliance verification, and local regulatory filing management</w:t>
            </w:r>
          </w:p>
        </w:tc>
        <w:tc>
          <w:tcPr/>
          <w:p>
            <w:pPr>
              <w:pStyle w:val="Compact"/>
              <w:jc w:val="left"/>
            </w:pPr>
            <w:r>
              <w:t xml:space="preserve">Annual (1x)</w:t>
            </w:r>
          </w:p>
        </w:tc>
        <w:tc>
          <w:tcPr/>
          <w:p>
            <w:pPr>
              <w:pStyle w:val="Compact"/>
              <w:jc w:val="left"/>
            </w:pPr>
            <w:r>
              <w:t xml:space="preserve">10 hrs</w:t>
            </w:r>
          </w:p>
        </w:tc>
        <w:tc>
          <w:tcPr/>
          <w:p>
            <w:pPr>
              <w:pStyle w:val="Compact"/>
              <w:jc w:val="left"/>
            </w:pPr>
            <w:r>
              <w:t xml:space="preserve">$175.00</w:t>
            </w:r>
          </w:p>
        </w:tc>
        <w:tc>
          <w:tcPr/>
          <w:p>
            <w:pPr>
              <w:pStyle w:val="Compact"/>
              <w:jc w:val="left"/>
            </w:pPr>
            <w:r>
              <w:t xml:space="preserve">$1,750.00</w:t>
            </w:r>
          </w:p>
        </w:tc>
      </w:tr>
      <w:tr>
        <w:tc>
          <w:tcPr>
            <w:gridSpan w:val="5"/>
          </w:tcPr>
          <w:p>
            <w:pPr>
              <w:pStyle w:val="Compact"/>
              <w:jc w:val="right"/>
            </w:pPr>
            <w:r>
              <w:t xml:space="preserve">TOTAL ESTIMATED ANNUAL FEE</w:t>
            </w:r>
          </w:p>
        </w:tc>
        <w:tc>
          <w:tcPr/>
          <w:p>
            <w:pPr>
              <w:pStyle w:val="Compact"/>
              <w:jc w:val="left"/>
            </w:pPr>
            <w:r>
              <w:t xml:space="preserve">$118,550.00</w:t>
            </w:r>
          </w:p>
        </w:tc>
      </w:tr>
      <w:tr>
        <w:tc>
          <w:tcPr>
            <w:gridSpan w:val="5"/>
          </w:tcPr>
          <w:p>
            <w:pPr>
              <w:pStyle w:val="Compact"/>
              <w:jc w:val="right"/>
            </w:pPr>
            <w:r>
              <w:t xml:space="preserve">Applicable CA Sales &amp; Use Tax (0% – Professional Services Exempt)</w:t>
            </w:r>
          </w:p>
        </w:tc>
        <w:tc>
          <w:tcPr/>
          <w:p>
            <w:pPr>
              <w:pStyle w:val="Compact"/>
              <w:jc w:val="left"/>
            </w:pPr>
            <w:r>
              <w:t xml:space="preserve">$0.00</w:t>
            </w:r>
          </w:p>
        </w:tc>
      </w:tr>
      <w:tr>
        <w:tc>
          <w:tcPr>
            <w:gridSpan w:val="5"/>
          </w:tcPr>
          <w:p>
            <w:pPr>
              <w:pStyle w:val="Compact"/>
              <w:jc w:val="right"/>
            </w:pPr>
            <w:r>
              <w:t xml:space="preserve">GRAND TOTAL (USD)</w:t>
            </w:r>
          </w:p>
        </w:tc>
        <w:tc>
          <w:tcPr/>
          <w:p>
            <w:pPr>
              <w:pStyle w:val="Compact"/>
              <w:jc w:val="left"/>
            </w:pPr>
            <w:r>
              <w:t xml:space="preserve">$118,550.00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July 12, 2025, rates may be subject to revision based on prevailing market conditions in the San Francisco professional services sector.</w:t>
      </w:r>
    </w:p>
    <w:p>
      <w:pPr>
        <w:numPr>
          <w:ilvl w:val="0"/>
          <w:numId w:val="1001"/>
        </w:numPr>
        <w:pStyle w:val="Compact"/>
      </w:pPr>
      <w:r>
        <w:t xml:space="preserve">All</w:t>
      </w:r>
      <w:r>
        <w:t xml:space="preserve"> </w:t>
      </w:r>
      <w:r>
        <w:t xml:space="preserve">Accountant</w:t>
      </w:r>
      <w:r>
        <w:t xml:space="preserve"> </w:t>
      </w:r>
      <w:r>
        <w:t xml:space="preserve">services shall be performed by licensed Certified Public Accountants (CPAs) in good standing with the California Board of Accountancy and the AICPA. The primary engagement partner shall be a CPA with a minimum of fifteen (15) years of experience in the San Francisco Bay Area.</w:t>
      </w:r>
    </w:p>
    <w:p>
      <w:pPr>
        <w:numPr>
          <w:ilvl w:val="0"/>
          <w:numId w:val="1001"/>
        </w:numPr>
        <w:pStyle w:val="Compact"/>
      </w:pPr>
      <w:r>
        <w:t xml:space="preserve">Payment terms: Net 30 days from the date of invoice. Invoices will be issued monthly in arrears. A late payment surcharge of 1.5% per month shall apply to overdue balances, consistent with California Commercial Code Section 2310.</w:t>
      </w:r>
    </w:p>
    <w:p>
      <w:pPr>
        <w:numPr>
          <w:ilvl w:val="0"/>
          <w:numId w:val="1001"/>
        </w:numPr>
        <w:pStyle w:val="Compact"/>
      </w:pPr>
      <w:r>
        <w:t xml:space="preserve">This estimate covers the services explicitly listed in Section 2. Any additional work, including but not limited to tax controversy representation before the IRS or California Franchise Tax Board, will be billed separately at the applicable hourly rate stated herein.</w:t>
      </w:r>
    </w:p>
    <w:p>
      <w:pPr>
        <w:numPr>
          <w:ilvl w:val="0"/>
          <w:numId w:val="1001"/>
        </w:numPr>
        <w:pStyle w:val="Compact"/>
      </w:pPr>
      <w:r>
        <w:t xml:space="preserve">All work product, including financial statements, tax returns, and advisory memoranda, shall be prepared in accordance with Generally Accepted Accounting Principles (GAAP) and applicable United States federal and California state regulations.</w:t>
      </w:r>
    </w:p>
    <w:p>
      <w:pPr>
        <w:numPr>
          <w:ilvl w:val="0"/>
          <w:numId w:val="1001"/>
        </w:numPr>
        <w:pStyle w:val="Compact"/>
      </w:pPr>
      <w:r>
        <w:t xml:space="preserve">Confidentiality: All client data and financial records shall be handled in strict accordance with the California Confidentiality of Medical Information Act (where applicable), the Gramm-Leach-Bliley Act, and our firm's internal data security protocols. No information pertaining to Pacific Crest Ventures, Inc. shall be disclosed to third parties without written consent.</w:t>
      </w:r>
    </w:p>
    <w:p>
      <w:pPr>
        <w:numPr>
          <w:ilvl w:val="0"/>
          <w:numId w:val="1001"/>
        </w:numPr>
        <w:pStyle w:val="Compact"/>
      </w:pPr>
      <w:r>
        <w:t xml:space="preserve">Termination: Either party may terminate this engagement with thirty (30) days written notice. Upon termination, the client shall be invoiced for all services rendered through the termination date at the rates specified in this</w:t>
      </w:r>
      <w:r>
        <w:t xml:space="preserve"> </w:t>
      </w:r>
      <w:r>
        <w:t xml:space="preserve">Quotation Estimate</w:t>
      </w:r>
      <w:r>
        <w:t xml:space="preserve">.</w:t>
      </w:r>
    </w:p>
    <w:p>
      <w:pPr>
        <w:numPr>
          <w:ilvl w:val="0"/>
          <w:numId w:val="1001"/>
        </w:numPr>
        <w:pStyle w:val="Compact"/>
      </w:pPr>
      <w:r>
        <w:t xml:space="preserve">Governing Law: This agreement shall be governed by and construed in accordance with the laws of the State of California, with venue in the Superior Court of San Francisco County, United States.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does not constitute a binding contract until executed by both parties. The final engagement letter, which will incorporate all terms herein, will be issued upon acceptance. All</w:t>
      </w:r>
      <w:r>
        <w:t xml:space="preserve"> </w:t>
      </w:r>
      <w:r>
        <w:t xml:space="preserve">Accountant</w:t>
      </w:r>
      <w:r>
        <w:t xml:space="preserve"> </w:t>
      </w:r>
      <w:r>
        <w:t xml:space="preserve">services will be delivered from our offices located in the Financial District of San Francisco, California, or remotely via secure encrypted channels as mutually agreed upon.</w:t>
      </w:r>
    </w:p>
    <w:bookmarkEnd w:id="23"/>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Golden Gate Accounting &amp; Advisory Group, LLC to commence the</w:t>
      </w:r>
      <w:r>
        <w:t xml:space="preserve"> </w:t>
      </w:r>
      <w:r>
        <w:t xml:space="preserve">Accountant</w:t>
      </w:r>
      <w:r>
        <w:t xml:space="preserve"> </w:t>
      </w:r>
      <w:r>
        <w:t xml:space="preserve">services described herein for the client's operations in</w:t>
      </w:r>
      <w:r>
        <w:t xml:space="preserve"> </w:t>
      </w:r>
      <w:r>
        <w:t xml:space="preserve">United States San Francisco</w:t>
      </w:r>
      <w:r>
        <w:t xml:space="preserve">.</w:t>
      </w:r>
    </w:p>
    <w:bookmarkStart w:id="24" w:name="prepared-by-firm"/>
    <w:p>
      <w:pPr>
        <w:pStyle w:val="Heading4"/>
      </w:pPr>
      <w:r>
        <w:t xml:space="preserve">Prepared By (Firm)</w:t>
      </w:r>
    </w:p>
    <w:p>
      <w:pPr>
        <w:pStyle w:val="FirstParagraph"/>
      </w:pPr>
      <w:r>
        <w:t xml:space="preserve">Golden Gate Accounting &amp; Advisory Group, LLC</w:t>
      </w:r>
    </w:p>
    <w:p>
      <w:pPr>
        <w:pStyle w:val="BodyText"/>
      </w:pPr>
      <w:r>
        <w:t xml:space="preserve">Signature</w:t>
      </w:r>
    </w:p>
    <w:p>
      <w:pPr>
        <w:pStyle w:val="BodyText"/>
      </w:pPr>
      <w:r>
        <w:t xml:space="preserve">Name: David Chen, CPA, CGMA</w:t>
      </w:r>
      <w:r>
        <w:br/>
      </w:r>
      <w:r>
        <w:t xml:space="preserve">Date: _______________</w:t>
      </w:r>
    </w:p>
    <w:bookmarkEnd w:id="24"/>
    <w:bookmarkStart w:id="25" w:name="accepted-by-client"/>
    <w:p>
      <w:pPr>
        <w:pStyle w:val="Heading4"/>
      </w:pPr>
      <w:r>
        <w:t xml:space="preserve">Accepted By (Client)</w:t>
      </w:r>
    </w:p>
    <w:p>
      <w:pPr>
        <w:pStyle w:val="FirstParagraph"/>
      </w:pPr>
      <w:r>
        <w:t xml:space="preserve">Pacific Crest Ventures, Inc.</w:t>
      </w:r>
    </w:p>
    <w:p>
      <w:pPr>
        <w:pStyle w:val="BodyText"/>
      </w:pPr>
      <w:r>
        <w:t xml:space="preserve">Signature</w:t>
      </w:r>
    </w:p>
    <w:p>
      <w:pPr>
        <w:pStyle w:val="BodyText"/>
      </w:pPr>
      <w:r>
        <w:t xml:space="preserve">Name: Elena Rodriguez, CFO</w:t>
      </w:r>
      <w:r>
        <w:br/>
      </w:r>
      <w:r>
        <w:t xml:space="preserve">Date: _______________</w:t>
      </w:r>
    </w:p>
    <w:bookmarkEnd w:id="25"/>
    <w:p>
      <w:pPr>
        <w:pStyle w:val="BodyText"/>
      </w:pPr>
      <w:r>
        <w:t xml:space="preserve">Quotation Estimate No. QTE-2025-04872 | Golden Gate Accounting &amp; Advisory Group, LLC | San Francisco, CA 94102, United States</w:t>
      </w:r>
    </w:p>
    <w:p>
      <w:pPr>
        <w:pStyle w:val="BodyText"/>
      </w:pPr>
      <w:r>
        <w:t xml:space="preserve">This document is confidential and intended solely for the named recipient. Unauthorized reproduction or distribution is prohibited.</w:t>
      </w:r>
    </w:p>
    <w:p>
      <w:pPr>
        <w:pStyle w:val="BodyText"/>
      </w:pPr>
      <w:r>
        <w:t xml:space="preserve">© 2025 Golden Gate Accounting &amp; Advisory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San Francisco</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