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Accountant Services — Venezuela Caracas</w:t>
      </w:r>
    </w:p>
    <w:p>
      <w:pPr>
        <w:pStyle w:val="BodyText"/>
      </w:pPr>
      <w:r>
        <w:t xml:space="preserve">Rif: J-31245678-9 | Av. Francisco de Miranda, Torre Empresarial, Piso 12, Chacao, Caracas, Venezuela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QE-2025-00472</w:t>
            </w:r>
          </w:p>
        </w:tc>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Validity Period:</w:t>
            </w:r>
          </w:p>
        </w:tc>
        <w:tc>
          <w:tcPr/>
          <w:p>
            <w:pPr>
              <w:pStyle w:val="Compact"/>
              <w:jc w:val="left"/>
            </w:pPr>
            <w:r>
              <w:t xml:space="preserve">30 Calendar Days (until July 15, 2025)</w:t>
            </w:r>
          </w:p>
        </w:tc>
        <w:tc>
          <w:tcPr/>
          <w:p>
            <w:pPr>
              <w:pStyle w:val="Compact"/>
              <w:jc w:val="left"/>
            </w:pPr>
            <w:r>
              <w:t xml:space="preserve">Currency:</w:t>
            </w:r>
          </w:p>
        </w:tc>
        <w:tc>
          <w:tcPr/>
          <w:p>
            <w:pPr>
              <w:pStyle w:val="Compact"/>
              <w:jc w:val="left"/>
            </w:pPr>
            <w:r>
              <w:t xml:space="preserve">USD (US Dollars) / Bs. (Bolivares Fuerte)</w:t>
            </w:r>
          </w:p>
        </w:tc>
      </w:tr>
      <w:tr>
        <w:tc>
          <w:tcPr/>
          <w:p>
            <w:pPr>
              <w:pStyle w:val="Compact"/>
              <w:jc w:val="left"/>
            </w:pPr>
            <w:r>
              <w:t xml:space="preserve">Prepared For:</w:t>
            </w:r>
          </w:p>
        </w:tc>
        <w:tc>
          <w:tcPr/>
          <w:p>
            <w:pPr>
              <w:pStyle w:val="Compact"/>
              <w:jc w:val="left"/>
            </w:pPr>
            <w:r>
              <w:t xml:space="preserve">Comercial Andina del Este, C.A.</w:t>
            </w:r>
          </w:p>
        </w:tc>
        <w:tc>
          <w:tcPr/>
          <w:p>
            <w:pPr>
              <w:pStyle w:val="Compact"/>
              <w:jc w:val="left"/>
            </w:pPr>
            <w:r>
              <w:t xml:space="preserve">Client Rif:</w:t>
            </w:r>
          </w:p>
        </w:tc>
        <w:tc>
          <w:tcPr/>
          <w:p>
            <w:pPr>
              <w:pStyle w:val="Compact"/>
              <w:jc w:val="left"/>
            </w:pPr>
            <w:r>
              <w:t xml:space="preserve">J-40987654-1</w:t>
            </w:r>
          </w:p>
        </w:tc>
      </w:tr>
      <w:tr>
        <w:tc>
          <w:tcPr/>
          <w:p>
            <w:pPr>
              <w:pStyle w:val="Compact"/>
              <w:jc w:val="left"/>
            </w:pPr>
            <w:r>
              <w:t xml:space="preserve">Client Address:</w:t>
            </w:r>
          </w:p>
        </w:tc>
        <w:tc>
          <w:tcPr>
            <w:gridSpan w:val="3"/>
          </w:tcPr>
          <w:p>
            <w:pPr>
              <w:pStyle w:val="Compact"/>
              <w:jc w:val="left"/>
            </w:pPr>
            <w:r>
              <w:t xml:space="preserve">Av. Panteón, Edificio Corporativo, Piso 8, El Rosal, Caracas, Venezuela</w:t>
            </w:r>
          </w:p>
        </w:tc>
      </w:tr>
      <w:tr>
        <w:tc>
          <w:tcPr/>
          <w:p>
            <w:pPr>
              <w:pStyle w:val="Compact"/>
              <w:jc w:val="left"/>
            </w:pPr>
            <w:r>
              <w:t xml:space="preserve">Prepared By:</w:t>
            </w:r>
          </w:p>
        </w:tc>
        <w:tc>
          <w:tcPr/>
          <w:p>
            <w:pPr>
              <w:pStyle w:val="Compact"/>
              <w:jc w:val="left"/>
            </w:pPr>
            <w:r>
              <w:t xml:space="preserve">C.P.C. María Elena Rodríguez (Certified Public Accountant, SENIAT Reg. No. 12345678)</w:t>
            </w:r>
          </w:p>
        </w:tc>
        <w:tc>
          <w:tcPr/>
          <w:p>
            <w:pPr>
              <w:pStyle w:val="Compact"/>
              <w:jc w:val="left"/>
            </w:pPr>
            <w:r>
              <w:t xml:space="preserve">Contact:</w:t>
            </w:r>
          </w:p>
        </w:tc>
        <w:tc>
          <w:tcPr/>
          <w:p>
            <w:pPr>
              <w:pStyle w:val="Compact"/>
              <w:jc w:val="left"/>
            </w:pPr>
            <w:r>
              <w:t xml:space="preserve">+58 212-555-0147 | mrodriguez@contabilidadccs.com.ve</w:t>
            </w:r>
          </w:p>
        </w:tc>
      </w:tr>
    </w:tbl>
    <w:p>
      <w:pPr>
        <w:pStyle w:val="BodyText"/>
      </w:pPr>
      <w:r>
        <w:t xml:space="preserve">1. SCOPE OF SERVICES — ACCOUNTANT ENGAGEMENT IN VENEZUELA CARACAS</w:t>
      </w:r>
    </w:p>
    <w:p>
      <w:pPr>
        <w:pStyle w:val="BodyText"/>
      </w:pPr>
      <w:r>
        <w:t xml:space="preserve">This</w:t>
      </w:r>
      <w:r>
        <w:t xml:space="preserve"> </w:t>
      </w:r>
      <w:r>
        <w:t xml:space="preserve">Quotation Estimate</w:t>
      </w:r>
      <w:r>
        <w:t xml:space="preserve"> </w:t>
      </w:r>
      <w:r>
        <w:t xml:space="preserve">is issued by our firm to provide a comprehensive and transparent breakdown of professional</w:t>
      </w:r>
      <w:r>
        <w:t xml:space="preserve"> </w:t>
      </w:r>
      <w:r>
        <w:t xml:space="preserve">Accountant</w:t>
      </w:r>
      <w:r>
        <w:t xml:space="preserve"> </w:t>
      </w:r>
      <w:r>
        <w:t xml:space="preserve">services to be rendered to the client within the jurisdiction of</w:t>
      </w:r>
      <w:r>
        <w:t xml:space="preserve"> </w:t>
      </w:r>
      <w:r>
        <w:t xml:space="preserve">Venezuela Caracas</w:t>
      </w:r>
      <w:r>
        <w:t xml:space="preserve">. The engagement encompasses full-cycle accounting, tax compliance, financial reporting, and advisory services in strict accordance with the Venezuelan tax code (Código Orgánico Tributario), the regulations established by the Servicio Nacional Integrado de Administración Aduanera y Tributaria (SENIAT), and the Generally Accepted Accounting Principles (GAAP) as adapted for the Venezuelan context. All services will be performed by a licensed</w:t>
      </w:r>
      <w:r>
        <w:t xml:space="preserve"> </w:t>
      </w:r>
      <w:r>
        <w:t xml:space="preserve">Accountant</w:t>
      </w:r>
      <w:r>
        <w:t xml:space="preserve"> </w:t>
      </w:r>
      <w:r>
        <w:t xml:space="preserve">registered with the Colegio de Contadores Públicos de Venezuela (CCPV) and operating from our principal office in Caracas, Venezuela.</w:t>
      </w:r>
    </w:p>
    <w:p>
      <w:pPr>
        <w:pStyle w:val="BodyText"/>
      </w:pPr>
      <w:r>
        <w:t xml:space="preserve">2. 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Price (USD)</w:t>
            </w:r>
          </w:p>
        </w:tc>
        <w:tc>
          <w:tcPr/>
          <w:p>
            <w:pPr>
              <w:pStyle w:val="Compact"/>
              <w:jc w:val="left"/>
            </w:pPr>
            <w:r>
              <w:t xml:space="preserve">Unit Price (Bs.)</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Monthly bookkeeping and journal entry processing for all business operations conducted in Venezuela Caracas, including accounts payable, accounts receivable, and general ledger maintenance.</w:t>
            </w:r>
          </w:p>
        </w:tc>
        <w:tc>
          <w:tcPr/>
          <w:p>
            <w:pPr>
              <w:pStyle w:val="Compact"/>
              <w:jc w:val="left"/>
            </w:pPr>
            <w:r>
              <w:t xml:space="preserve">Monthly (12x/yr)</w:t>
            </w:r>
          </w:p>
        </w:tc>
        <w:tc>
          <w:tcPr/>
          <w:p>
            <w:pPr>
              <w:pStyle w:val="Compact"/>
              <w:jc w:val="left"/>
            </w:pPr>
            <w:r>
              <w:t xml:space="preserve">$450.00</w:t>
            </w:r>
          </w:p>
        </w:tc>
        <w:tc>
          <w:tcPr/>
          <w:p>
            <w:pPr>
              <w:pStyle w:val="Compact"/>
              <w:jc w:val="left"/>
            </w:pPr>
            <w:r>
              <w:t xml:space="preserve">Bs. 38,250.00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Preparation and filing of monthly tax returns (Formulario 100, 101, 102, 103) with SENIAT, including IVA (16%), ISLR (34%), and withholding tax declarations specific to the Caracas metropolitan area.</w:t>
            </w:r>
          </w:p>
        </w:tc>
        <w:tc>
          <w:tcPr/>
          <w:p>
            <w:pPr>
              <w:pStyle w:val="Compact"/>
              <w:jc w:val="left"/>
            </w:pPr>
            <w:r>
              <w:t xml:space="preserve">Monthly (12x/yr)</w:t>
            </w:r>
          </w:p>
        </w:tc>
        <w:tc>
          <w:tcPr/>
          <w:p>
            <w:pPr>
              <w:pStyle w:val="Compact"/>
              <w:jc w:val="left"/>
            </w:pPr>
            <w:r>
              <w:t xml:space="preserve">$350.00</w:t>
            </w:r>
          </w:p>
        </w:tc>
        <w:tc>
          <w:tcPr/>
          <w:p>
            <w:pPr>
              <w:pStyle w:val="Compact"/>
              <w:jc w:val="left"/>
            </w:pPr>
            <w:r>
              <w:t xml:space="preserve">Bs. 29,750.00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Annual financial statement preparation (Balance Sheet, Income Statement, Cash Flow Statement) in compliance with Venezuelan accounting standards and SENIAT requirements.</w:t>
            </w:r>
          </w:p>
        </w:tc>
        <w:tc>
          <w:tcPr/>
          <w:p>
            <w:pPr>
              <w:pStyle w:val="Compact"/>
              <w:jc w:val="left"/>
            </w:pPr>
            <w:r>
              <w:t xml:space="preserve">Annually (1x/yr)</w:t>
            </w:r>
          </w:p>
        </w:tc>
        <w:tc>
          <w:tcPr/>
          <w:p>
            <w:pPr>
              <w:pStyle w:val="Compact"/>
              <w:jc w:val="left"/>
            </w:pPr>
            <w:r>
              <w:t xml:space="preserve">$1,200.00</w:t>
            </w:r>
          </w:p>
        </w:tc>
        <w:tc>
          <w:tcPr/>
          <w:p>
            <w:pPr>
              <w:pStyle w:val="Compact"/>
              <w:jc w:val="left"/>
            </w:pPr>
            <w:r>
              <w:t xml:space="preserve">Bs. 102,000.00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Annual ISLR (Income Tax) return preparation and filing, including reconciliation of book income versus taxable income per Venezuelan tax law.</w:t>
            </w:r>
          </w:p>
        </w:tc>
        <w:tc>
          <w:tcPr/>
          <w:p>
            <w:pPr>
              <w:pStyle w:val="Compact"/>
              <w:jc w:val="left"/>
            </w:pPr>
            <w:r>
              <w:t xml:space="preserve">Annually (1x/yr)</w:t>
            </w:r>
          </w:p>
        </w:tc>
        <w:tc>
          <w:tcPr/>
          <w:p>
            <w:pPr>
              <w:pStyle w:val="Compact"/>
              <w:jc w:val="left"/>
            </w:pPr>
            <w:r>
              <w:t xml:space="preserve">$950.00</w:t>
            </w:r>
          </w:p>
        </w:tc>
        <w:tc>
          <w:tcPr/>
          <w:p>
            <w:pPr>
              <w:pStyle w:val="Compact"/>
              <w:jc w:val="left"/>
            </w:pPr>
            <w:r>
              <w:t xml:space="preserve">Bs. 80,750.00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Payroll accounting and social security (INPSASEL) compliance for up to 25 employees, including monthly contributions, annual bonuses (Bono de Navidad), and labor tax filings in Caracas.</w:t>
            </w:r>
          </w:p>
        </w:tc>
        <w:tc>
          <w:tcPr/>
          <w:p>
            <w:pPr>
              <w:pStyle w:val="Compact"/>
              <w:jc w:val="left"/>
            </w:pPr>
            <w:r>
              <w:t xml:space="preserve">Monthly (12x/yr)</w:t>
            </w:r>
          </w:p>
        </w:tc>
        <w:tc>
          <w:tcPr/>
          <w:p>
            <w:pPr>
              <w:pStyle w:val="Compact"/>
              <w:jc w:val="left"/>
            </w:pPr>
            <w:r>
              <w:t xml:space="preserve">$280.00</w:t>
            </w:r>
          </w:p>
        </w:tc>
        <w:tc>
          <w:tcPr/>
          <w:p>
            <w:pPr>
              <w:pStyle w:val="Compact"/>
              <w:jc w:val="left"/>
            </w:pPr>
            <w:r>
              <w:t xml:space="preserve">Bs. 23,800.00</w:t>
            </w:r>
          </w:p>
        </w:tc>
        <w:tc>
          <w:tcPr/>
          <w:p>
            <w:pPr>
              <w:pStyle w:val="Compact"/>
              <w:jc w:val="left"/>
            </w:pPr>
            <w:r>
              <w:t xml:space="preserve">$3,360.00</w:t>
            </w:r>
          </w:p>
        </w:tc>
      </w:tr>
      <w:tr>
        <w:tc>
          <w:tcPr/>
          <w:p>
            <w:pPr>
              <w:pStyle w:val="Compact"/>
              <w:jc w:val="left"/>
            </w:pPr>
            <w:r>
              <w:t xml:space="preserve">6</w:t>
            </w:r>
          </w:p>
        </w:tc>
        <w:tc>
          <w:tcPr/>
          <w:p>
            <w:pPr>
              <w:pStyle w:val="Compact"/>
              <w:jc w:val="left"/>
            </w:pPr>
            <w:r>
              <w:t xml:space="preserve">Advisory and consultation services on tax planning, regulatory changes in Venezuela, and financial structuring. Includes up to 4 hours of in-person meetings at our Caracas office or virtual sessions.</w:t>
            </w:r>
          </w:p>
        </w:tc>
        <w:tc>
          <w:tcPr/>
          <w:p>
            <w:pPr>
              <w:pStyle w:val="Compact"/>
              <w:jc w:val="left"/>
            </w:pPr>
            <w:r>
              <w:t xml:space="preserve">Quarterly (4x/yr)</w:t>
            </w:r>
          </w:p>
        </w:tc>
        <w:tc>
          <w:tcPr/>
          <w:p>
            <w:pPr>
              <w:pStyle w:val="Compact"/>
              <w:jc w:val="left"/>
            </w:pPr>
            <w:r>
              <w:t xml:space="preserve">$400.00</w:t>
            </w:r>
          </w:p>
        </w:tc>
        <w:tc>
          <w:tcPr/>
          <w:p>
            <w:pPr>
              <w:pStyle w:val="Compact"/>
              <w:jc w:val="left"/>
            </w:pPr>
            <w:r>
              <w:t xml:space="preserve">Bs. 34,000.00</w:t>
            </w:r>
          </w:p>
        </w:tc>
        <w:tc>
          <w:tcPr/>
          <w:p>
            <w:pPr>
              <w:pStyle w:val="Compact"/>
              <w:jc w:val="left"/>
            </w:pPr>
            <w:r>
              <w:t xml:space="preserve">$1,600.00</w:t>
            </w:r>
          </w:p>
        </w:tc>
      </w:tr>
      <w:tr>
        <w:tc>
          <w:tcPr/>
          <w:p>
            <w:pPr>
              <w:pStyle w:val="Compact"/>
              <w:jc w:val="left"/>
            </w:pPr>
            <w:r>
              <w:t xml:space="preserve">7</w:t>
            </w:r>
          </w:p>
        </w:tc>
        <w:tc>
          <w:tcPr/>
          <w:p>
            <w:pPr>
              <w:pStyle w:val="Compact"/>
              <w:jc w:val="left"/>
            </w:pPr>
            <w:r>
              <w:t xml:space="preserve">Bank reconciliation, cash flow monitoring, and monthly management reports delivered to the client's executive team in Caracas.</w:t>
            </w:r>
          </w:p>
        </w:tc>
        <w:tc>
          <w:tcPr/>
          <w:p>
            <w:pPr>
              <w:pStyle w:val="Compact"/>
              <w:jc w:val="left"/>
            </w:pPr>
            <w:r>
              <w:t xml:space="preserve">Monthly (12x/yr)</w:t>
            </w:r>
          </w:p>
        </w:tc>
        <w:tc>
          <w:tcPr/>
          <w:p>
            <w:pPr>
              <w:pStyle w:val="Compact"/>
              <w:jc w:val="left"/>
            </w:pPr>
            <w:r>
              <w:t xml:space="preserve">$200.00</w:t>
            </w:r>
          </w:p>
        </w:tc>
        <w:tc>
          <w:tcPr/>
          <w:p>
            <w:pPr>
              <w:pStyle w:val="Compact"/>
              <w:jc w:val="left"/>
            </w:pPr>
            <w:r>
              <w:t xml:space="preserve">Bs. 17,000.00</w:t>
            </w:r>
          </w:p>
        </w:tc>
        <w:tc>
          <w:tcPr/>
          <w:p>
            <w:pPr>
              <w:pStyle w:val="Compact"/>
              <w:jc w:val="left"/>
            </w:pPr>
            <w:r>
              <w:t xml:space="preserve">$2,400.00</w:t>
            </w:r>
          </w:p>
        </w:tc>
      </w:tr>
      <w:tr>
        <w:tc>
          <w:tcPr/>
          <w:p>
            <w:pPr>
              <w:pStyle w:val="Compact"/>
              <w:jc w:val="left"/>
            </w:pPr>
            <w:r>
              <w:t xml:space="preserve">8</w:t>
            </w:r>
          </w:p>
        </w:tc>
        <w:tc>
          <w:tcPr/>
          <w:p>
            <w:pPr>
              <w:pStyle w:val="Compact"/>
              <w:jc w:val="left"/>
            </w:pPr>
            <w:r>
              <w:t xml:space="preserve">Support during SENIAT audits or tax inspections, including document preparation, representation, and response drafting. Billed per occurrence.</w:t>
            </w:r>
          </w:p>
        </w:tc>
        <w:tc>
          <w:tcPr/>
          <w:p>
            <w:pPr>
              <w:pStyle w:val="Compact"/>
              <w:jc w:val="left"/>
            </w:pPr>
            <w:r>
              <w:t xml:space="preserve">As needed</w:t>
            </w:r>
          </w:p>
        </w:tc>
        <w:tc>
          <w:tcPr/>
          <w:p>
            <w:pPr>
              <w:pStyle w:val="Compact"/>
              <w:jc w:val="left"/>
            </w:pPr>
            <w:r>
              <w:t xml:space="preserve">$750.00</w:t>
            </w:r>
          </w:p>
        </w:tc>
        <w:tc>
          <w:tcPr/>
          <w:p>
            <w:pPr>
              <w:pStyle w:val="Compact"/>
              <w:jc w:val="left"/>
            </w:pPr>
            <w:r>
              <w:t xml:space="preserve">Bs. 63,750.00</w:t>
            </w:r>
          </w:p>
        </w:tc>
        <w:tc>
          <w:tcPr/>
          <w:p>
            <w:pPr>
              <w:pStyle w:val="Compact"/>
              <w:jc w:val="left"/>
            </w:pPr>
            <w:r>
              <w:t xml:space="preserve">$750.00</w:t>
            </w:r>
          </w:p>
        </w:tc>
      </w:tr>
      <w:tr>
        <w:tc>
          <w:tcPr>
            <w:gridSpan w:val="5"/>
          </w:tcPr>
          <w:p>
            <w:pPr>
              <w:pStyle w:val="Compact"/>
              <w:jc w:val="right"/>
            </w:pPr>
            <w:r>
              <w:t xml:space="preserve">ANNUAL TOTAL — QUOTATION ESTIMATE</w:t>
            </w:r>
          </w:p>
        </w:tc>
        <w:tc>
          <w:tcPr/>
          <w:p>
            <w:pPr>
              <w:pStyle w:val="Compact"/>
              <w:jc w:val="left"/>
            </w:pPr>
            <w:r>
              <w:t xml:space="preserve">$19,860.00</w:t>
            </w: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adjusted to reflect changes in the official exchange rate (BCV) or modifications to Venezuelan tax legislation.</w:t>
      </w:r>
    </w:p>
    <w:p>
      <w:pPr>
        <w:numPr>
          <w:ilvl w:val="0"/>
          <w:numId w:val="1001"/>
        </w:numPr>
        <w:pStyle w:val="Compact"/>
      </w:pPr>
      <w:r>
        <w:rPr>
          <w:bCs/>
          <w:b/>
        </w:rPr>
        <w:t xml:space="preserve">Payment Terms:</w:t>
      </w:r>
      <w:r>
        <w:t xml:space="preserve"> </w:t>
      </w:r>
      <w:r>
        <w:t xml:space="preserve">Invoices will be issued monthly in advance. Payment is due within fifteen (15) calendar days of invoice date. Accepted payment methods include bank transfer to a local Venezuelan bank account (Banesco, Mercantil, or Banco de Venezuela) or wire transfer in USD to an authorized account. All payments in Bolivares will be converted at the BCV official rate on the day of payment.</w:t>
      </w:r>
    </w:p>
    <w:p>
      <w:pPr>
        <w:numPr>
          <w:ilvl w:val="0"/>
          <w:numId w:val="1001"/>
        </w:numPr>
        <w:pStyle w:val="Compact"/>
      </w:pPr>
      <w:r>
        <w:rPr>
          <w:bCs/>
          <w:b/>
        </w:rPr>
        <w:t xml:space="preserve">Scope Limitations:</w:t>
      </w:r>
      <w:r>
        <w:t xml:space="preserve"> </w:t>
      </w:r>
      <w:r>
        <w:t xml:space="preserve">This Quotation Estimate covers the services explicitly listed in Section 2. Any additional services, such as forensic accounting, litigation support, or representation before the Tribunal de lo Contencioso Administrativo, will be quoted separately.</w:t>
      </w:r>
    </w:p>
    <w:p>
      <w:pPr>
        <w:numPr>
          <w:ilvl w:val="0"/>
          <w:numId w:val="1001"/>
        </w:numPr>
        <w:pStyle w:val="Compact"/>
      </w:pPr>
      <w:r>
        <w:rPr>
          <w:bCs/>
          <w:b/>
        </w:rPr>
        <w:t xml:space="preserve">Client Obligations:</w:t>
      </w:r>
      <w:r>
        <w:t xml:space="preserve"> </w:t>
      </w:r>
      <w:r>
        <w:t xml:space="preserve">The client agrees to provide all source documents, invoices, bank statements, and supporting records in a timely manner (within five business days of month-end) to ensure the Accountant can complete filings before SENIAT deadlines. Failure to provide documentation may result in late-filing penalties, which are the sole responsibility of the client.</w:t>
      </w:r>
    </w:p>
    <w:p>
      <w:pPr>
        <w:numPr>
          <w:ilvl w:val="0"/>
          <w:numId w:val="1001"/>
        </w:numPr>
        <w:pStyle w:val="Compact"/>
      </w:pPr>
      <w:r>
        <w:rPr>
          <w:bCs/>
          <w:b/>
        </w:rPr>
        <w:t xml:space="preserve">Confidentiality:</w:t>
      </w:r>
      <w:r>
        <w:t xml:space="preserve"> </w:t>
      </w:r>
      <w:r>
        <w:t xml:space="preserve">The Accountant and all supporting staff are bound by strict confidentiality obligations under Venezuelan professional ethics codes. No client financial data will be disclosed to third parties without written consent, except as required by SENIAT or judicial authority in Venezuela Caracas.</w:t>
      </w:r>
    </w:p>
    <w:p>
      <w:pPr>
        <w:numPr>
          <w:ilvl w:val="0"/>
          <w:numId w:val="1001"/>
        </w:numPr>
        <w:pStyle w:val="Compact"/>
      </w:pPr>
      <w:r>
        <w:rPr>
          <w:bCs/>
          <w:b/>
        </w:rPr>
        <w:t xml:space="preserve">Regulatory Compliance:</w:t>
      </w:r>
      <w:r>
        <w:t xml:space="preserve"> </w:t>
      </w:r>
      <w:r>
        <w:t xml:space="preserve">All services will be performed in compliance with the Ley de Ejercicio de la Contaduría Pública, SENIAT regulations, and the current tax framework of the Bolivarian Republic of Venezuela. The Accountant assumes no liability for penalties arising from changes in law enacted after the date of this Quotation Estimate.</w:t>
      </w:r>
    </w:p>
    <w:p>
      <w:pPr>
        <w:numPr>
          <w:ilvl w:val="0"/>
          <w:numId w:val="1001"/>
        </w:numPr>
        <w:pStyle w:val="Compact"/>
      </w:pPr>
      <w:r>
        <w:rPr>
          <w:bCs/>
          <w:b/>
        </w:rPr>
        <w:t xml:space="preserve">Termination:</w:t>
      </w:r>
      <w:r>
        <w:t xml:space="preserve"> </w:t>
      </w:r>
      <w:r>
        <w:t xml:space="preserve">Either party may terminate the engagement with thirty (30) days written notice. Upon termination, the Accountant will complete all pending filings for the current period and deliver a final set of books and records.</w:t>
      </w:r>
    </w:p>
    <w:p>
      <w:pPr>
        <w:numPr>
          <w:ilvl w:val="0"/>
          <w:numId w:val="1001"/>
        </w:numPr>
        <w:pStyle w:val="Compact"/>
      </w:pPr>
      <w:r>
        <w:rPr>
          <w:bCs/>
          <w:b/>
        </w:rPr>
        <w:t xml:space="preserve">Governing Law:</w:t>
      </w:r>
      <w:r>
        <w:t xml:space="preserve"> </w:t>
      </w:r>
      <w:r>
        <w:t xml:space="preserve">This Quotation Estimate and the resulting professional services agreement shall be governed by the laws of the Bolivarian Republic of Venezuela. Any disputes shall be resolved in the competent courts of Caracas, Venezuela.</w:t>
      </w:r>
    </w:p>
    <w:p>
      <w:pPr>
        <w:pStyle w:val="FirstParagraph"/>
      </w:pPr>
      <w:r>
        <w:t xml:space="preserve">4. ACCEPTANCE AND SIGNATURES</w:t>
      </w:r>
    </w:p>
    <w:p>
      <w:pPr>
        <w:pStyle w:val="BodyText"/>
      </w:pPr>
      <w:r>
        <w:t xml:space="preserve">By signing below, both parties acknowledge that this Quotation Estimate accurately reflects the scope, pricing, and terms of the professional Accountant services to be provided in Venezuela Caracas. This document constitutes a binding offer upon acceptance and a binding commitment upon signature by both parties.</w:t>
      </w:r>
    </w:p>
    <w:p>
      <w:pPr>
        <w:pStyle w:val="BodyText"/>
      </w:pPr>
      <w:r>
        <w:rPr>
          <w:bCs/>
          <w:b/>
        </w:rPr>
        <w:t xml:space="preserve">For the Service Provider</w:t>
      </w:r>
      <w:r>
        <w:br/>
      </w:r>
      <w:r>
        <w:t xml:space="preserve">C.P.C. María Elena Rodríguez</w:t>
      </w:r>
      <w:r>
        <w:br/>
      </w:r>
      <w:r>
        <w:t xml:space="preserve">Certified Public Accountant</w:t>
      </w:r>
      <w:r>
        <w:br/>
      </w:r>
      <w:r>
        <w:t xml:space="preserve">Date: _______________</w:t>
      </w:r>
    </w:p>
    <w:p>
      <w:pPr>
        <w:pStyle w:val="BodyText"/>
      </w:pPr>
      <w:r>
        <w:rPr>
          <w:bCs/>
          <w:b/>
        </w:rPr>
        <w:t xml:space="preserve">For the Client</w:t>
      </w:r>
      <w:r>
        <w:br/>
      </w:r>
      <w:r>
        <w:t xml:space="preserve">Comercial Andina del Este, C.A.</w:t>
      </w:r>
      <w:r>
        <w:br/>
      </w:r>
      <w:r>
        <w:t xml:space="preserve">Authorized Representative</w:t>
      </w:r>
      <w:r>
        <w:br/>
      </w:r>
      <w:r>
        <w:t xml:space="preserve">Date: _______________</w:t>
      </w:r>
    </w:p>
    <w:p>
      <w:pPr>
        <w:pStyle w:val="BodyText"/>
      </w:pPr>
      <w:r>
        <w:t xml:space="preserve">This Quotation Estimate (No. QE-2025-00472) is a professional document issued for the engagement of Accountant services in Venezuela Caracas. It is not a tax opinion or legal advice. For questions regarding this estimate, please contact our office at +58 212-555-0147 or mrodriguez@contabilidadccs.com.ve. All rights reserved. © 2025 Contabilidad Rodríguez &amp; Asociados, C.A. — Caracas,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Venezuela Caracas</dc:title>
  <dc:creator/>
  <dc:language>en</dc:language>
  <cp:keywords/>
  <dcterms:created xsi:type="dcterms:W3CDTF">2026-10-10T10:21:11Z</dcterms:created>
  <dcterms:modified xsi:type="dcterms:W3CDTF">2026-10-10T10:21:11Z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