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Actor Services — Israel Tel Aviv</w:t>
      </w:r>
    </w:p>
    <w:p>
      <w:pPr>
        <w:pStyle w:val="BodyText"/>
      </w:pPr>
      <w:r>
        <w:t xml:space="preserve">Ref: QE-TLV-2025-0487 | Issued: June 12, 2025 | Valid Until: July 12, 2025</w:t>
      </w:r>
    </w:p>
    <w:bookmarkEnd w:id="20"/>
    <w:bookmarkStart w:id="21" w:name="prepared-by"/>
    <w:p>
      <w:pPr>
        <w:pStyle w:val="Heading3"/>
      </w:pPr>
      <w:r>
        <w:t xml:space="preserve">Prepared By</w:t>
      </w:r>
    </w:p>
    <w:p>
      <w:pPr>
        <w:pStyle w:val="FirstParagraph"/>
      </w:pPr>
      <w:r>
        <w:rPr>
          <w:bCs/>
          <w:b/>
        </w:rPr>
        <w:t xml:space="preserve">Meridian Talent Agency Ltd.</w:t>
      </w:r>
    </w:p>
    <w:p>
      <w:pPr>
        <w:pStyle w:val="BodyText"/>
      </w:pPr>
      <w:r>
        <w:t xml:space="preserve">42 Rothschild Boulevard</w:t>
      </w:r>
    </w:p>
    <w:p>
      <w:pPr>
        <w:pStyle w:val="BodyText"/>
      </w:pPr>
      <w:r>
        <w:t xml:space="preserve">Tel Aviv-Yafo, Israel 64921</w:t>
      </w:r>
    </w:p>
    <w:p>
      <w:pPr>
        <w:pStyle w:val="BodyText"/>
      </w:pPr>
      <w:r>
        <w:t xml:space="preserve">Tel: +972-3-518-4420</w:t>
      </w:r>
    </w:p>
    <w:p>
      <w:pPr>
        <w:pStyle w:val="BodyText"/>
      </w:pPr>
      <w:r>
        <w:t xml:space="preserve">Email: quotes@meridiantalent.co.il</w:t>
      </w:r>
    </w:p>
    <w:p>
      <w:pPr>
        <w:pStyle w:val="BodyText"/>
      </w:pPr>
      <w:r>
        <w:t xml:space="preserve">VAT: 51-234-567-8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Tel Aviv, Israel</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[Phone Number]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Talent Agency Ltd. to provide a comprehensive and itemized cost breakdown for the engagement of a professional</w:t>
      </w:r>
      <w:r>
        <w:t xml:space="preserve"> </w:t>
      </w:r>
      <w:r>
        <w:t xml:space="preserve">Actor</w:t>
      </w:r>
      <w:r>
        <w:t xml:space="preserve"> </w:t>
      </w:r>
      <w:r>
        <w:t xml:space="preserve">for a commercial production project to be filmed and staged in</w:t>
      </w:r>
      <w:r>
        <w:t xml:space="preserve"> </w:t>
      </w:r>
      <w:r>
        <w:t xml:space="preserve">Israel Tel Aviv</w:t>
      </w:r>
      <w:r>
        <w:t xml:space="preserve">. This document serves as a formal, non-binding estimate of all anticipated costs associated with the Actor's services, travel, accommodation, and related production logistics within the Tel Aviv metropolitan area and surrounding locations in Israel.</w:t>
      </w:r>
    </w:p>
    <w:bookmarkEnd w:id="23"/>
    <w:bookmarkStart w:id="24" w:name="X69379b765e74968b44f7424f6c2fa4ebdac8b59"/>
    <w:p>
      <w:pPr>
        <w:pStyle w:val="Heading2"/>
      </w:pPr>
      <w:r>
        <w:t xml:space="preserve">2. Scope of Services — Actor Engagement in Israel Tel Aviv</w:t>
      </w:r>
    </w:p>
    <w:p>
      <w:pPr>
        <w:pStyle w:val="FirstParagraph"/>
      </w:pPr>
      <w:r>
        <w:t xml:space="preserve">The following</w:t>
      </w:r>
      <w:r>
        <w:t xml:space="preserve"> </w:t>
      </w:r>
      <w:r>
        <w:t xml:space="preserve">Quotation Estimate</w:t>
      </w:r>
      <w:r>
        <w:t xml:space="preserve"> </w:t>
      </w:r>
      <w:r>
        <w:t xml:space="preserve">covers the full engagement of a professionally trained and experienced</w:t>
      </w:r>
      <w:r>
        <w:t xml:space="preserve"> </w:t>
      </w:r>
      <w:r>
        <w:t xml:space="preserve">Actor</w:t>
      </w:r>
      <w:r>
        <w:t xml:space="preserve"> </w:t>
      </w:r>
      <w:r>
        <w:t xml:space="preserve">(bilingual: Hebrew and English) for a 5-day commercial filming schedule in</w:t>
      </w:r>
      <w:r>
        <w:t xml:space="preserve"> </w:t>
      </w:r>
      <w:r>
        <w:t xml:space="preserve">Israel Tel Aviv</w:t>
      </w:r>
      <w:r>
        <w:t xml:space="preserve">. The Actor will perform in a 60-second television commercial and a 3-minute corporate brand video. All scenes are to be shot at locations within Tel Aviv, including the Jaffa Old City waterfront, the Florentin district, and a studio facility in the Azrieli Towers complex.</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Professional Actor — Daily Performance Fee (bilingual Hebrew/English, commercial experience)</w:t>
            </w:r>
          </w:p>
        </w:tc>
        <w:tc>
          <w:tcPr/>
          <w:p>
            <w:pPr>
              <w:pStyle w:val="Compact"/>
              <w:jc w:val="left"/>
            </w:pPr>
            <w:r>
              <w:t xml:space="preserve">5 days</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2</w:t>
            </w:r>
          </w:p>
        </w:tc>
        <w:tc>
          <w:tcPr/>
          <w:p>
            <w:pPr>
              <w:pStyle w:val="Compact"/>
              <w:jc w:val="left"/>
            </w:pPr>
            <w:r>
              <w:t xml:space="preserve">Actor Rehearsal &amp; Script Preparation (2 full days prior to shoot in Tel Aviv)</w:t>
            </w:r>
          </w:p>
        </w:tc>
        <w:tc>
          <w:tcPr/>
          <w:p>
            <w:pPr>
              <w:pStyle w:val="Compact"/>
              <w:jc w:val="left"/>
            </w:pPr>
            <w:r>
              <w:t xml:space="preserve">2 days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Actor Wardrobe &amp; Costume Coordination (provided by production, Actor fitting sessions)</w:t>
            </w:r>
          </w:p>
        </w:tc>
        <w:tc>
          <w:tcPr/>
          <w:p>
            <w:pPr>
              <w:pStyle w:val="Compact"/>
              <w:jc w:val="left"/>
            </w:pPr>
            <w:r>
              <w:t xml:space="preserve">3 sessions</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4</w:t>
            </w:r>
          </w:p>
        </w:tc>
        <w:tc>
          <w:tcPr/>
          <w:p>
            <w:pPr>
              <w:pStyle w:val="Compact"/>
              <w:jc w:val="left"/>
            </w:pPr>
            <w:r>
              <w:t xml:space="preserve">Actor Accommodation — 4-star hotel in Tel Aviv (single room, breakfast included)</w:t>
            </w:r>
          </w:p>
        </w:tc>
        <w:tc>
          <w:tcPr/>
          <w:p>
            <w:pPr>
              <w:pStyle w:val="Compact"/>
              <w:jc w:val="left"/>
            </w:pPr>
            <w:r>
              <w:t xml:space="preserve">7 nights</w:t>
            </w:r>
          </w:p>
        </w:tc>
        <w:tc>
          <w:tcPr/>
          <w:p>
            <w:pPr>
              <w:pStyle w:val="Compact"/>
              <w:jc w:val="left"/>
            </w:pPr>
            <w:r>
              <w:t xml:space="preserve">1,450</w:t>
            </w:r>
          </w:p>
        </w:tc>
        <w:tc>
          <w:tcPr/>
          <w:p>
            <w:pPr>
              <w:pStyle w:val="Compact"/>
              <w:jc w:val="left"/>
            </w:pPr>
            <w:r>
              <w:t xml:space="preserve">10,150</w:t>
            </w:r>
          </w:p>
        </w:tc>
      </w:tr>
      <w:tr>
        <w:tc>
          <w:tcPr/>
          <w:p>
            <w:pPr>
              <w:pStyle w:val="Compact"/>
              <w:jc w:val="left"/>
            </w:pPr>
            <w:r>
              <w:t xml:space="preserve">5</w:t>
            </w:r>
          </w:p>
        </w:tc>
        <w:tc>
          <w:tcPr/>
          <w:p>
            <w:pPr>
              <w:pStyle w:val="Compact"/>
              <w:jc w:val="left"/>
            </w:pPr>
            <w:r>
              <w:t xml:space="preserve">Local Transportation — Actor travel between Tel Aviv locations (private vehicle with driver)</w:t>
            </w:r>
          </w:p>
        </w:tc>
        <w:tc>
          <w:tcPr/>
          <w:p>
            <w:pPr>
              <w:pStyle w:val="Compact"/>
              <w:jc w:val="left"/>
            </w:pPr>
            <w:r>
              <w:t xml:space="preserve">7 days</w:t>
            </w:r>
          </w:p>
        </w:tc>
        <w:tc>
          <w:tcPr/>
          <w:p>
            <w:pPr>
              <w:pStyle w:val="Compact"/>
              <w:jc w:val="left"/>
            </w:pPr>
            <w:r>
              <w:t xml:space="preserve">950</w:t>
            </w:r>
          </w:p>
        </w:tc>
        <w:tc>
          <w:tcPr/>
          <w:p>
            <w:pPr>
              <w:pStyle w:val="Compact"/>
              <w:jc w:val="left"/>
            </w:pPr>
            <w:r>
              <w:t xml:space="preserve">6,650</w:t>
            </w:r>
          </w:p>
        </w:tc>
      </w:tr>
      <w:tr>
        <w:tc>
          <w:tcPr/>
          <w:p>
            <w:pPr>
              <w:pStyle w:val="Compact"/>
              <w:jc w:val="left"/>
            </w:pPr>
            <w:r>
              <w:t xml:space="preserve">6</w:t>
            </w:r>
          </w:p>
        </w:tc>
        <w:tc>
          <w:tcPr/>
          <w:p>
            <w:pPr>
              <w:pStyle w:val="Compact"/>
              <w:jc w:val="left"/>
            </w:pPr>
            <w:r>
              <w:t xml:space="preserve">Actor Insurance &amp; Professional Liability Coverage (Israel domestic production policy)</w:t>
            </w:r>
          </w:p>
        </w:tc>
        <w:tc>
          <w:tcPr/>
          <w:p>
            <w:pPr>
              <w:pStyle w:val="Compact"/>
              <w:jc w:val="left"/>
            </w:pPr>
            <w:r>
              <w:t xml:space="preserve">1 policy</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7</w:t>
            </w:r>
          </w:p>
        </w:tc>
        <w:tc>
          <w:tcPr/>
          <w:p>
            <w:pPr>
              <w:pStyle w:val="Compact"/>
              <w:jc w:val="left"/>
            </w:pPr>
            <w:r>
              <w:t xml:space="preserve">On-Set Actor Support (personal assistant, meal coordination, rest area management)</w:t>
            </w:r>
          </w:p>
        </w:tc>
        <w:tc>
          <w:tcPr/>
          <w:p>
            <w:pPr>
              <w:pStyle w:val="Compact"/>
              <w:jc w:val="left"/>
            </w:pPr>
            <w:r>
              <w:t xml:space="preserve">5 days</w:t>
            </w:r>
          </w:p>
        </w:tc>
        <w:tc>
          <w:tcPr/>
          <w:p>
            <w:pPr>
              <w:pStyle w:val="Compact"/>
              <w:jc w:val="left"/>
            </w:pPr>
            <w:r>
              <w:t xml:space="preserve">1,800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Usage Rights &amp; Royalty Fee — Actor likeness for commercial broadcast in Israel and international markets (2-year term)</w:t>
            </w:r>
          </w:p>
        </w:tc>
        <w:tc>
          <w:tcPr/>
          <w:p>
            <w:pPr>
              <w:pStyle w:val="Compact"/>
              <w:jc w:val="left"/>
            </w:pPr>
            <w:r>
              <w:t xml:space="preserve">1 license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Agency Management &amp; Coordination Fee (Meridian Talent Agency, Israel Tel Aviv office)</w:t>
            </w:r>
          </w:p>
        </w:tc>
        <w:tc>
          <w:tcPr/>
          <w:p>
            <w:pPr>
              <w:pStyle w:val="Compact"/>
              <w:jc w:val="left"/>
            </w:pPr>
            <w:r>
              <w:t xml:space="preserve">1 fee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10</w:t>
            </w:r>
          </w:p>
        </w:tc>
        <w:tc>
          <w:tcPr/>
          <w:p>
            <w:pPr>
              <w:pStyle w:val="Compact"/>
              <w:jc w:val="left"/>
            </w:pPr>
            <w:r>
              <w:t xml:space="preserve">Contingency &amp; Rescheduling Buffer (up to 1 additional day for weather or production delays in Tel Aviv)</w:t>
            </w:r>
          </w:p>
        </w:tc>
        <w:tc>
          <w:tcPr/>
          <w:p>
            <w:pPr>
              <w:pStyle w:val="Compact"/>
              <w:jc w:val="left"/>
            </w:pPr>
            <w:r>
              <w:t xml:space="preserve">1 day</w:t>
            </w:r>
          </w:p>
        </w:tc>
        <w:tc>
          <w:tcPr/>
          <w:p>
            <w:pPr>
              <w:pStyle w:val="Compact"/>
              <w:jc w:val="left"/>
            </w:pPr>
            <w:r>
              <w:t xml:space="preserve">18,500</w:t>
            </w:r>
          </w:p>
        </w:tc>
        <w:tc>
          <w:tcPr/>
          <w:p>
            <w:pPr>
              <w:pStyle w:val="Compact"/>
              <w:jc w:val="left"/>
            </w:pPr>
            <w:r>
              <w:t xml:space="preserve">18,500</w:t>
            </w:r>
          </w:p>
        </w:tc>
      </w:tr>
      <w:tr>
        <w:tc>
          <w:tcPr>
            <w:gridSpan w:val="4"/>
          </w:tcPr>
          <w:p>
            <w:pPr>
              <w:pStyle w:val="Compact"/>
              <w:jc w:val="right"/>
            </w:pPr>
            <w:r>
              <w:t xml:space="preserve">Subtotal (excl. VAT):</w:t>
            </w:r>
          </w:p>
        </w:tc>
        <w:tc>
          <w:tcPr/>
          <w:p>
            <w:pPr>
              <w:pStyle w:val="Compact"/>
              <w:jc w:val="left"/>
            </w:pPr>
            <w:r>
              <w:t xml:space="preserve">218,950</w:t>
            </w:r>
          </w:p>
        </w:tc>
      </w:tr>
      <w:tr>
        <w:tc>
          <w:tcPr>
            <w:gridSpan w:val="4"/>
          </w:tcPr>
          <w:p>
            <w:pPr>
              <w:pStyle w:val="Compact"/>
              <w:jc w:val="right"/>
            </w:pPr>
            <w:r>
              <w:t xml:space="preserve">VAT @ 18% (Israel):</w:t>
            </w:r>
          </w:p>
        </w:tc>
        <w:tc>
          <w:tcPr/>
          <w:p>
            <w:pPr>
              <w:pStyle w:val="Compact"/>
              <w:jc w:val="left"/>
            </w:pPr>
            <w:r>
              <w:t xml:space="preserve">39,411</w:t>
            </w:r>
          </w:p>
        </w:tc>
      </w:tr>
      <w:tr>
        <w:tc>
          <w:tcPr>
            <w:gridSpan w:val="4"/>
          </w:tcPr>
          <w:p>
            <w:pPr>
              <w:pStyle w:val="Compact"/>
              <w:jc w:val="right"/>
            </w:pPr>
            <w:r>
              <w:t xml:space="preserve">Grand Total (incl. VAT):</w:t>
            </w:r>
          </w:p>
        </w:tc>
        <w:tc>
          <w:tcPr/>
          <w:p>
            <w:pPr>
              <w:pStyle w:val="Compact"/>
              <w:jc w:val="left"/>
            </w:pPr>
            <w:r>
              <w:t xml:space="preserve">258,361 ILS</w:t>
            </w:r>
          </w:p>
        </w:tc>
      </w:tr>
    </w:tbl>
    <w:p>
      <w:pPr>
        <w:pStyle w:val="BodyText"/>
      </w:pPr>
      <w:r>
        <w:rPr>
          <w:bCs/>
          <w:b/>
        </w:rPr>
        <w:t xml:space="preserve">Note:</w:t>
      </w:r>
      <w:r>
        <w:t xml:space="preserve"> </w:t>
      </w:r>
      <w:r>
        <w:t xml:space="preserve">This Quotation Estimate is based on current market rates for professional Actor services in Israel Tel Aviv as of June 2025. All prices are quoted in Israeli New Shekels (ILS). If the production schedule extends beyond the 5-day filming window or requires additional locations outside the Tel Aviv metropolitan area, a supplementary Quotation Estimate will be issued prior to any additional work.</w:t>
      </w:r>
    </w:p>
    <w:bookmarkEnd w:id="25"/>
    <w:bookmarkStart w:id="26" w:name="payment-terms-schedule"/>
    <w:p>
      <w:pPr>
        <w:pStyle w:val="Heading2"/>
      </w:pPr>
      <w:r>
        <w:t xml:space="preserve">4. Payment Terms &amp; Schedule</w:t>
      </w:r>
    </w:p>
    <w:p>
      <w:pPr>
        <w:pStyle w:val="FirstParagraph"/>
      </w:pPr>
      <w:r>
        <w:t xml:space="preserve">The total amount specified in this</w:t>
      </w:r>
      <w:r>
        <w:t xml:space="preserve"> </w:t>
      </w:r>
      <w:r>
        <w:t xml:space="preserve">Quotation Estimate</w:t>
      </w:r>
      <w:r>
        <w:t xml:space="preserve"> </w:t>
      </w:r>
      <w:r>
        <w:t xml:space="preserve">shall be paid according to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w:t>
            </w:r>
          </w:p>
        </w:tc>
        <w:tc>
          <w:tcPr/>
          <w:p>
            <w:pPr>
              <w:pStyle w:val="Compact"/>
              <w:jc w:val="left"/>
            </w:pPr>
            <w:r>
              <w:t xml:space="preserve">Due Date</w:t>
            </w:r>
          </w:p>
        </w:tc>
      </w:tr>
      <w:tr>
        <w:tc>
          <w:tcPr/>
          <w:p>
            <w:pPr>
              <w:pStyle w:val="Compact"/>
              <w:jc w:val="left"/>
            </w:pPr>
            <w:r>
              <w:t xml:space="preserve">Contract signing &amp; Actor booking confirmation</w:t>
            </w:r>
          </w:p>
        </w:tc>
        <w:tc>
          <w:tcPr/>
          <w:p>
            <w:pPr>
              <w:pStyle w:val="Compact"/>
              <w:jc w:val="left"/>
            </w:pPr>
            <w:r>
              <w:t xml:space="preserve">40%</w:t>
            </w:r>
          </w:p>
        </w:tc>
        <w:tc>
          <w:tcPr/>
          <w:p>
            <w:pPr>
              <w:pStyle w:val="Compact"/>
              <w:jc w:val="left"/>
            </w:pPr>
            <w:r>
              <w:t xml:space="preserve">103,344</w:t>
            </w:r>
          </w:p>
        </w:tc>
        <w:tc>
          <w:tcPr/>
          <w:p>
            <w:pPr>
              <w:pStyle w:val="Compact"/>
              <w:jc w:val="left"/>
            </w:pPr>
            <w:r>
              <w:t xml:space="preserve">Within 5 business days of acceptance</w:t>
            </w:r>
          </w:p>
        </w:tc>
      </w:tr>
      <w:tr>
        <w:tc>
          <w:tcPr/>
          <w:p>
            <w:pPr>
              <w:pStyle w:val="Compact"/>
              <w:jc w:val="left"/>
            </w:pPr>
            <w:r>
              <w:t xml:space="preserve">Rehearsal completion (Day 2 of prep)</w:t>
            </w:r>
          </w:p>
        </w:tc>
        <w:tc>
          <w:tcPr/>
          <w:p>
            <w:pPr>
              <w:pStyle w:val="Compact"/>
              <w:jc w:val="left"/>
            </w:pPr>
            <w:r>
              <w:t xml:space="preserve">30%</w:t>
            </w:r>
          </w:p>
        </w:tc>
        <w:tc>
          <w:tcPr/>
          <w:p>
            <w:pPr>
              <w:pStyle w:val="Compact"/>
              <w:jc w:val="left"/>
            </w:pPr>
            <w:r>
              <w:t xml:space="preserve">77,508</w:t>
            </w:r>
          </w:p>
        </w:tc>
        <w:tc>
          <w:tcPr/>
          <w:p>
            <w:pPr>
              <w:pStyle w:val="Compact"/>
              <w:jc w:val="left"/>
            </w:pPr>
            <w:r>
              <w:t xml:space="preserve">Upon completion of rehearsal period</w:t>
            </w:r>
          </w:p>
        </w:tc>
      </w:tr>
      <w:tr>
        <w:tc>
          <w:tcPr/>
          <w:p>
            <w:pPr>
              <w:pStyle w:val="Compact"/>
              <w:jc w:val="left"/>
            </w:pPr>
            <w:r>
              <w:t xml:space="preserve">Final delivery &amp; usage rights transfer</w:t>
            </w:r>
          </w:p>
        </w:tc>
        <w:tc>
          <w:tcPr/>
          <w:p>
            <w:pPr>
              <w:pStyle w:val="Compact"/>
              <w:jc w:val="left"/>
            </w:pPr>
            <w:r>
              <w:t xml:space="preserve">30%</w:t>
            </w:r>
          </w:p>
        </w:tc>
        <w:tc>
          <w:tcPr/>
          <w:p>
            <w:pPr>
              <w:pStyle w:val="Compact"/>
              <w:jc w:val="left"/>
            </w:pPr>
            <w:r>
              <w:t xml:space="preserve">77,509</w:t>
            </w:r>
          </w:p>
        </w:tc>
        <w:tc>
          <w:tcPr/>
          <w:p>
            <w:pPr>
              <w:pStyle w:val="Compact"/>
              <w:jc w:val="left"/>
            </w:pPr>
            <w:r>
              <w:t xml:space="preserve">Within 10 business days of final shoot day</w:t>
            </w:r>
          </w:p>
        </w:tc>
      </w:tr>
    </w:tbl>
    <w:bookmarkEnd w:id="26"/>
    <w:bookmarkStart w:id="27"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validity period expires, all rates for the Actor and associated services in Israel Tel Aviv are subject to revision based on current market conditions.</w:t>
      </w:r>
    </w:p>
    <w:p>
      <w:pPr>
        <w:numPr>
          <w:ilvl w:val="0"/>
          <w:numId w:val="1001"/>
        </w:numPr>
        <w:pStyle w:val="Compact"/>
      </w:pPr>
      <w:r>
        <w:t xml:space="preserve">The Actor's engagement is governed by the Israeli Labor Law and the collective agreement of the Actors' Union of Israel. All working hours, rest periods, and overtime compensation shall comply with applicable Israeli regulations.</w:t>
      </w:r>
    </w:p>
    <w:p>
      <w:pPr>
        <w:numPr>
          <w:ilvl w:val="0"/>
          <w:numId w:val="1001"/>
        </w:numPr>
        <w:pStyle w:val="Compact"/>
      </w:pPr>
      <w:r>
        <w:t xml:space="preserve">The Actor shall be available for a maximum of 12 hours per day (including travel time between Tel Aviv locations). Any work exceeding this threshold will be compensated at 1.5x the daily rate as specified in this Quotation Estimate.</w:t>
      </w:r>
    </w:p>
    <w:p>
      <w:pPr>
        <w:numPr>
          <w:ilvl w:val="0"/>
          <w:numId w:val="1001"/>
        </w:numPr>
        <w:pStyle w:val="Compact"/>
      </w:pPr>
      <w:r>
        <w:t xml:space="preserve">Usage rights for the Actor's likeness, voice, and performance are limited to the territories and duration stated in Line Item 8. Any extension or additional territory requires a separate written agreement and supplementary fee.</w:t>
      </w:r>
    </w:p>
    <w:p>
      <w:pPr>
        <w:numPr>
          <w:ilvl w:val="0"/>
          <w:numId w:val="1001"/>
        </w:numPr>
        <w:pStyle w:val="Compact"/>
      </w:pPr>
      <w:r>
        <w:t xml:space="preserve">Meridian Talent Agency Ltd. (Israel Tel Aviv) reserves the right to substitute the Actor with a comparable professional of equal or greater experience, subject to the client's written approval, in the event of illness or force majeure.</w:t>
      </w:r>
    </w:p>
    <w:p>
      <w:pPr>
        <w:numPr>
          <w:ilvl w:val="0"/>
          <w:numId w:val="1001"/>
        </w:numPr>
        <w:pStyle w:val="Compact"/>
      </w:pPr>
      <w:r>
        <w:t xml:space="preserve">All production activities involving the Actor must comply with Israeli film and media regulations, including permits required by the Israel Film Fund and local Tel Aviv municipality authorities for public location shoots.</w:t>
      </w:r>
    </w:p>
    <w:p>
      <w:pPr>
        <w:numPr>
          <w:ilvl w:val="0"/>
          <w:numId w:val="1001"/>
        </w:numPr>
        <w:pStyle w:val="Compact"/>
      </w:pPr>
      <w:r>
        <w:t xml:space="preserve">This Quotation Estimate does not constitute a binding contract. A formal service agreement must be executed by both parties before any work commences. The terms herein are incorporated by reference into the final contract.</w:t>
      </w:r>
    </w:p>
    <w:p>
      <w:pPr>
        <w:numPr>
          <w:ilvl w:val="0"/>
          <w:numId w:val="1001"/>
        </w:numPr>
        <w:pStyle w:val="Compact"/>
      </w:pPr>
      <w:r>
        <w:t xml:space="preserve">Disputes arising from this Quotation Estimate or the subsequent contract shall be resolved under the jurisdiction of the competent courts in Tel Aviv, Israel, in accordance with Israeli law.</w:t>
      </w:r>
    </w:p>
    <w:p>
      <w:pPr>
        <w:numPr>
          <w:ilvl w:val="0"/>
          <w:numId w:val="1001"/>
        </w:numPr>
        <w:pStyle w:val="Compact"/>
      </w:pPr>
      <w:r>
        <w:t xml:space="preserve">The Actor shall maintain professional conduct at all times on set and in public during the production period in Israel Tel Aviv. Any breach of the code of conduct may result in immediate termination of the engagement without further compensation.</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 Actor services in</w:t>
      </w:r>
      <w:r>
        <w:t xml:space="preserve"> </w:t>
      </w:r>
      <w:r>
        <w:t xml:space="preserve">Israel Tel Aviv</w:t>
      </w:r>
      <w:r>
        <w:t xml:space="preserve"> </w:t>
      </w:r>
      <w:r>
        <w:t xml:space="preserve">and agrees to the terms, conditions, and pricing outlined herein. This signature does not constitute a binding commitment until a formal contract is executed.</w:t>
      </w:r>
    </w:p>
    <w:p>
      <w:pPr>
        <w:pStyle w:val="BodyText"/>
      </w:pPr>
      <w:r>
        <w:rPr>
          <w:bCs/>
          <w:b/>
        </w:rPr>
        <w:t xml:space="preserve">For Meridian Talent Agency Ltd.</w:t>
      </w:r>
    </w:p>
    <w:p>
      <w:pPr>
        <w:pStyle w:val="BodyText"/>
      </w:pPr>
      <w:r>
        <w:t xml:space="preserve">Israel Tel Aviv</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the Client</w:t>
      </w:r>
    </w:p>
    <w:p>
      <w:pPr>
        <w:pStyle w:val="BodyText"/>
      </w:pPr>
      <w:r>
        <w:t xml:space="preserve">[Client Organization]</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Meridian Talent Agency Ltd. | 42 Rothschild Boulevard, Tel Aviv-Yafo, Israel 64921 | VAT: 51-234-567-8</w:t>
      </w:r>
    </w:p>
    <w:p>
      <w:pPr>
        <w:pStyle w:val="BodyText"/>
      </w:pPr>
      <w:r>
        <w:t xml:space="preserve">This Quotation Estimate was generated on June 12, 2025. Document Ref: QE-TLV-2025-0487. Page 1 of 1.</w:t>
      </w:r>
    </w:p>
    <w:p>
      <w:pPr>
        <w:pStyle w:val="BodyText"/>
      </w:pPr>
      <w:r>
        <w:t xml:space="preserve">© 2025 Meridian Talent Agency Ltd. All rights reserved. 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Israel Tel Aviv</dc:title>
  <dc:creator/>
  <dc:language>en</dc:language>
  <cp:keywords/>
  <dcterms:created xsi:type="dcterms:W3CDTF">2026-10-10T02:33:26Z</dcterms:created>
  <dcterms:modified xsi:type="dcterms:W3CDTF">2026-10-10T02:33:26Z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