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Actor Services — Production &amp; Performance Engagement</w:t>
      </w:r>
    </w:p>
    <w:p>
      <w:pPr>
        <w:pStyle w:val="BodyText"/>
      </w:pPr>
      <w:r>
        <w:t xml:space="preserve">Osaka, Japan — Kansai Region</w:t>
      </w:r>
    </w:p>
    <w:bookmarkEnd w:id="20"/>
    <w:p>
      <w:pPr>
        <w:pStyle w:val="BodyText"/>
      </w:pPr>
      <w:r>
        <w:rPr>
          <w:bCs/>
          <w:b/>
        </w:rPr>
        <w:t xml:space="preserve">Quotation No.:</w:t>
      </w:r>
      <w:r>
        <w:t xml:space="preserve"> </w:t>
      </w:r>
      <w:r>
        <w:t xml:space="preserve">QE-OSK-2025-0472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Kuroda Talent Management Co., Ltd.</w:t>
      </w:r>
      <w:r>
        <w:br/>
      </w:r>
      <w:r>
        <w:rPr>
          <w:bCs/>
          <w:b/>
        </w:rPr>
        <w:t xml:space="preserve">Address:</w:t>
      </w:r>
      <w:r>
        <w:t xml:space="preserve"> </w:t>
      </w:r>
      <w:r>
        <w:t xml:space="preserve">2-4-18 Umeda, Kita-ku, Osaka 530-0001, Japan</w:t>
      </w:r>
      <w:r>
        <w:br/>
      </w:r>
      <w:r>
        <w:rPr>
          <w:bCs/>
          <w:b/>
        </w:rPr>
        <w:t xml:space="preserve">Contact:</w:t>
      </w:r>
      <w:r>
        <w:t xml:space="preserve"> </w:t>
      </w:r>
      <w:r>
        <w:t xml:space="preserve">+81-6-6371-8820 | talent@kuroda-osaka.jp</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Osaka Metropolitan Film &amp; Television Production Group</w:t>
            </w:r>
          </w:p>
        </w:tc>
      </w:tr>
      <w:tr>
        <w:tc>
          <w:tcPr/>
          <w:p>
            <w:pPr>
              <w:pStyle w:val="Compact"/>
              <w:jc w:val="left"/>
            </w:pPr>
            <w:r>
              <w:t xml:space="preserve">Project Title</w:t>
            </w:r>
          </w:p>
        </w:tc>
        <w:tc>
          <w:tcPr/>
          <w:p>
            <w:pPr>
              <w:pStyle w:val="Compact"/>
              <w:jc w:val="left"/>
            </w:pPr>
            <w:r>
              <w:t xml:space="preserve">"Rivers of the Kansai" — Feature Film Production (Working Title)</w:t>
            </w:r>
          </w:p>
        </w:tc>
      </w:tr>
      <w:tr>
        <w:tc>
          <w:tcPr/>
          <w:p>
            <w:pPr>
              <w:pStyle w:val="Compact"/>
              <w:jc w:val="left"/>
            </w:pPr>
            <w:r>
              <w:t xml:space="preserve">Production Location</w:t>
            </w:r>
          </w:p>
        </w:tc>
        <w:tc>
          <w:tcPr/>
          <w:p>
            <w:pPr>
              <w:pStyle w:val="Compact"/>
              <w:jc w:val="left"/>
            </w:pPr>
            <w:r>
              <w:t xml:space="preserve">Dotonbori District, Namba, Osaka, Japan (Primary); Kyoto &amp; Nara (Secondary)</w:t>
            </w:r>
          </w:p>
        </w:tc>
      </w:tr>
      <w:tr>
        <w:tc>
          <w:tcPr/>
          <w:p>
            <w:pPr>
              <w:pStyle w:val="Compact"/>
              <w:jc w:val="left"/>
            </w:pPr>
            <w:r>
              <w:t xml:space="preserve">Production Period</w:t>
            </w:r>
          </w:p>
        </w:tc>
        <w:tc>
          <w:tcPr/>
          <w:p>
            <w:pPr>
              <w:pStyle w:val="Compact"/>
              <w:jc w:val="left"/>
            </w:pPr>
            <w:r>
              <w:t xml:space="preserve">August 4, 2025 – October 18, 2025</w:t>
            </w:r>
          </w:p>
        </w:tc>
      </w:tr>
      <w:tr>
        <w:tc>
          <w:tcPr/>
          <w:p>
            <w:pPr>
              <w:pStyle w:val="Compact"/>
              <w:jc w:val="left"/>
            </w:pPr>
            <w:r>
              <w:t xml:space="preserve">Point of Contact</w:t>
            </w:r>
          </w:p>
        </w:tc>
        <w:tc>
          <w:tcPr/>
          <w:p>
            <w:pPr>
              <w:pStyle w:val="Compact"/>
              <w:jc w:val="left"/>
            </w:pPr>
            <w:r>
              <w:t xml:space="preserve">Mr. Takeshi Yamamoto, Director of Production Affairs</w:t>
            </w:r>
          </w:p>
        </w:tc>
      </w:tr>
    </w:tbl>
    <w:p>
      <w:pPr>
        <w:pStyle w:val="BodyText"/>
      </w:pPr>
      <w:r>
        <w:t xml:space="preserve">2. Scope of Services — Actor Engagement in Japan Osaka</w:t>
      </w:r>
    </w:p>
    <w:p>
      <w:pPr>
        <w:pStyle w:val="BodyText"/>
      </w:pPr>
      <w:r>
        <w:t xml:space="preserve">This Quotation Estimate is issued by Kuroda Talent Management Co., Ltd. to formally propose the engagement of a professional</w:t>
      </w:r>
      <w:r>
        <w:t xml:space="preserve"> </w:t>
      </w:r>
      <w:r>
        <w:t xml:space="preserve">Actor</w:t>
      </w:r>
      <w:r>
        <w:t xml:space="preserve"> </w:t>
      </w:r>
      <w:r>
        <w:t xml:space="preserve">for the above-referenced feature film production to be staged primarily in</w:t>
      </w:r>
      <w:r>
        <w:t xml:space="preserve"> </w:t>
      </w:r>
      <w:r>
        <w:t xml:space="preserve">Japan Osaka</w:t>
      </w:r>
      <w:r>
        <w:t xml:space="preserve">. The Actor shall perform the lead role of "Kenji Morimoto," a character requiring extensive on-location shooting across the Osaka metropolitan area, including but not limited to the Dotonbori canal district, Osaka Castle grounds, the Shinsekai neighborhood, and the waterfront areas of Minato-ku. The Actor is expected to deliver performances in both Japanese and English dialogue, with full availability for a minimum of 72 shooting days within the stated production period. All Actor services shall be rendered in strict compliance with the labor regulations of Osaka Prefecture and the Japan Film Industry Association guidelines.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Actor Daily Performance Fee (on-set, Osaka locations)</w:t>
            </w:r>
          </w:p>
        </w:tc>
        <w:tc>
          <w:tcPr/>
          <w:p>
            <w:pPr>
              <w:pStyle w:val="Compact"/>
              <w:jc w:val="left"/>
            </w:pPr>
            <w:r>
              <w:t xml:space="preserve">72 days</w:t>
            </w:r>
          </w:p>
        </w:tc>
        <w:tc>
          <w:tcPr/>
          <w:p>
            <w:pPr>
              <w:pStyle w:val="Compact"/>
              <w:jc w:val="left"/>
            </w:pPr>
            <w:r>
              <w:t xml:space="preserve">¥350,000</w:t>
            </w:r>
          </w:p>
        </w:tc>
        <w:tc>
          <w:tcPr/>
          <w:p>
            <w:pPr>
              <w:pStyle w:val="Compact"/>
              <w:jc w:val="left"/>
            </w:pPr>
            <w:r>
              <w:t xml:space="preserve">¥25,200,000</w:t>
            </w:r>
          </w:p>
        </w:tc>
        <w:tc>
          <w:tcPr/>
          <w:p>
            <w:pPr>
              <w:pStyle w:val="Compact"/>
              <w:jc w:val="left"/>
            </w:pPr>
            <w:r>
              <w:t xml:space="preserve">Incl. 12-hr call sheet</w:t>
            </w:r>
          </w:p>
        </w:tc>
      </w:tr>
      <w:tr>
        <w:tc>
          <w:tcPr/>
          <w:p>
            <w:pPr>
              <w:pStyle w:val="Compact"/>
              <w:jc w:val="left"/>
            </w:pPr>
            <w:r>
              <w:t xml:space="preserve">2</w:t>
            </w:r>
          </w:p>
        </w:tc>
        <w:tc>
          <w:tcPr/>
          <w:p>
            <w:pPr>
              <w:pStyle w:val="Compact"/>
              <w:jc w:val="left"/>
            </w:pPr>
            <w:r>
              <w:t xml:space="preserve">Actor Rehearsal &amp; Table Read Sessions (Osaka Studio, Kita-ku)</w:t>
            </w:r>
          </w:p>
        </w:tc>
        <w:tc>
          <w:tcPr/>
          <w:p>
            <w:pPr>
              <w:pStyle w:val="Compact"/>
              <w:jc w:val="left"/>
            </w:pPr>
            <w:r>
              <w:t xml:space="preserve">10 days</w:t>
            </w:r>
          </w:p>
        </w:tc>
        <w:tc>
          <w:tcPr/>
          <w:p>
            <w:pPr>
              <w:pStyle w:val="Compact"/>
              <w:jc w:val="left"/>
            </w:pPr>
            <w:r>
              <w:t xml:space="preserve">¥180,000</w:t>
            </w:r>
          </w:p>
        </w:tc>
        <w:tc>
          <w:tcPr/>
          <w:p>
            <w:pPr>
              <w:pStyle w:val="Compact"/>
              <w:jc w:val="left"/>
            </w:pPr>
            <w:r>
              <w:t xml:space="preserve">¥1,800,000</w:t>
            </w:r>
          </w:p>
        </w:tc>
        <w:tc>
          <w:tcPr/>
          <w:p>
            <w:pPr>
              <w:pStyle w:val="Compact"/>
              <w:jc w:val="left"/>
            </w:pPr>
            <w:r>
              <w:t xml:space="preserve">Pre-production phase</w:t>
            </w:r>
          </w:p>
        </w:tc>
      </w:tr>
      <w:tr>
        <w:tc>
          <w:tcPr/>
          <w:p>
            <w:pPr>
              <w:pStyle w:val="Compact"/>
              <w:jc w:val="left"/>
            </w:pPr>
            <w:r>
              <w:t xml:space="preserve">3</w:t>
            </w:r>
          </w:p>
        </w:tc>
        <w:tc>
          <w:tcPr/>
          <w:p>
            <w:pPr>
              <w:pStyle w:val="Compact"/>
              <w:jc w:val="left"/>
            </w:pPr>
            <w:r>
              <w:t xml:space="preserve">Actor Language Coaching (Japanese/English dialect work for Osaka accent)</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Kansai-ben specialization</w:t>
            </w:r>
          </w:p>
        </w:tc>
      </w:tr>
      <w:tr>
        <w:tc>
          <w:tcPr/>
          <w:p>
            <w:pPr>
              <w:pStyle w:val="Compact"/>
              <w:jc w:val="left"/>
            </w:pPr>
            <w:r>
              <w:t xml:space="preserve">4</w:t>
            </w:r>
          </w:p>
        </w:tc>
        <w:tc>
          <w:tcPr/>
          <w:p>
            <w:pPr>
              <w:pStyle w:val="Compact"/>
              <w:jc w:val="left"/>
            </w:pPr>
            <w:r>
              <w:t xml:space="preserve">Actor Accommodation &amp; Per Diem (Osaka city center, 4-star hotel)</w:t>
            </w:r>
          </w:p>
        </w:tc>
        <w:tc>
          <w:tcPr/>
          <w:p>
            <w:pPr>
              <w:pStyle w:val="Compact"/>
              <w:jc w:val="left"/>
            </w:pPr>
            <w:r>
              <w:t xml:space="preserve">78 nights</w:t>
            </w:r>
          </w:p>
        </w:tc>
        <w:tc>
          <w:tcPr/>
          <w:p>
            <w:pPr>
              <w:pStyle w:val="Compact"/>
              <w:jc w:val="left"/>
            </w:pPr>
            <w:r>
              <w:t xml:space="preserve">¥28,000</w:t>
            </w:r>
          </w:p>
        </w:tc>
        <w:tc>
          <w:tcPr/>
          <w:p>
            <w:pPr>
              <w:pStyle w:val="Compact"/>
              <w:jc w:val="left"/>
            </w:pPr>
            <w:r>
              <w:t xml:space="preserve">¥2,184,000</w:t>
            </w:r>
          </w:p>
        </w:tc>
        <w:tc>
          <w:tcPr/>
          <w:p>
            <w:pPr>
              <w:pStyle w:val="Compact"/>
              <w:jc w:val="left"/>
            </w:pPr>
            <w:r>
              <w:t xml:space="preserve">Single occupancy</w:t>
            </w:r>
          </w:p>
        </w:tc>
      </w:tr>
      <w:tr>
        <w:tc>
          <w:tcPr/>
          <w:p>
            <w:pPr>
              <w:pStyle w:val="Compact"/>
              <w:jc w:val="left"/>
            </w:pPr>
            <w:r>
              <w:t xml:space="preserve">5</w:t>
            </w:r>
          </w:p>
        </w:tc>
        <w:tc>
          <w:tcPr/>
          <w:p>
            <w:pPr>
              <w:pStyle w:val="Compact"/>
              <w:jc w:val="left"/>
            </w:pPr>
            <w:r>
              <w:t xml:space="preserve">Actor Local Transportation (Osaka Metro, JR Kansai, chartered vehicle)</w:t>
            </w:r>
          </w:p>
        </w:tc>
        <w:tc>
          <w:tcPr/>
          <w:p>
            <w:pPr>
              <w:pStyle w:val="Compact"/>
              <w:jc w:val="left"/>
            </w:pPr>
            <w:r>
              <w:t xml:space="preserve">78 days</w:t>
            </w:r>
          </w:p>
        </w:tc>
        <w:tc>
          <w:tcPr/>
          <w:p>
            <w:pPr>
              <w:pStyle w:val="Compact"/>
              <w:jc w:val="left"/>
            </w:pPr>
            <w:r>
              <w:t xml:space="preserve">¥15,000</w:t>
            </w:r>
          </w:p>
        </w:tc>
        <w:tc>
          <w:tcPr/>
          <w:p>
            <w:pPr>
              <w:pStyle w:val="Compact"/>
              <w:jc w:val="left"/>
            </w:pPr>
            <w:r>
              <w:t xml:space="preserve">¥1,170,000</w:t>
            </w:r>
          </w:p>
        </w:tc>
        <w:tc>
          <w:tcPr/>
          <w:p>
            <w:pPr>
              <w:pStyle w:val="Compact"/>
              <w:jc w:val="left"/>
            </w:pPr>
            <w:r>
              <w:t xml:space="preserve">Set-to-set transfers</w:t>
            </w:r>
          </w:p>
        </w:tc>
      </w:tr>
      <w:tr>
        <w:tc>
          <w:tcPr/>
          <w:p>
            <w:pPr>
              <w:pStyle w:val="Compact"/>
              <w:jc w:val="left"/>
            </w:pPr>
            <w:r>
              <w:t xml:space="preserve">6</w:t>
            </w:r>
          </w:p>
        </w:tc>
        <w:tc>
          <w:tcPr/>
          <w:p>
            <w:pPr>
              <w:pStyle w:val="Compact"/>
              <w:jc w:val="left"/>
            </w:pPr>
            <w:r>
              <w:t xml:space="preserve">Actor Wardrobe &amp; Costume Fitting (Osaka-based costume house)</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Period-accurate attire</w:t>
            </w:r>
          </w:p>
        </w:tc>
      </w:tr>
      <w:tr>
        <w:tc>
          <w:tcPr/>
          <w:p>
            <w:pPr>
              <w:pStyle w:val="Compact"/>
              <w:jc w:val="left"/>
            </w:pPr>
            <w:r>
              <w:t xml:space="preserve">7</w:t>
            </w:r>
          </w:p>
        </w:tc>
        <w:tc>
          <w:tcPr/>
          <w:p>
            <w:pPr>
              <w:pStyle w:val="Compact"/>
              <w:jc w:val="left"/>
            </w:pPr>
            <w:r>
              <w:t xml:space="preserve">Actor Insurance &amp; Liability Coverage (Japan domestic production policy)</w:t>
            </w:r>
          </w:p>
        </w:tc>
        <w:tc>
          <w:tcPr/>
          <w:p>
            <w:pPr>
              <w:pStyle w:val="Compact"/>
              <w:jc w:val="left"/>
            </w:pPr>
            <w:r>
              <w:t xml:space="preserve">1 policy</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Full production period</w:t>
            </w:r>
          </w:p>
        </w:tc>
      </w:tr>
      <w:tr>
        <w:tc>
          <w:tcPr/>
          <w:p>
            <w:pPr>
              <w:pStyle w:val="Compact"/>
              <w:jc w:val="left"/>
            </w:pPr>
            <w:r>
              <w:t xml:space="preserve">8</w:t>
            </w:r>
          </w:p>
        </w:tc>
        <w:tc>
          <w:tcPr/>
          <w:p>
            <w:pPr>
              <w:pStyle w:val="Compact"/>
              <w:jc w:val="left"/>
            </w:pPr>
            <w:r>
              <w:t xml:space="preserve">Actor Publicity &amp; Press Appearances (Osaka Film Festival, local media)</w:t>
            </w:r>
          </w:p>
        </w:tc>
        <w:tc>
          <w:tcPr/>
          <w:p>
            <w:pPr>
              <w:pStyle w:val="Compact"/>
              <w:jc w:val="left"/>
            </w:pPr>
            <w:r>
              <w:t xml:space="preserve">3 events</w:t>
            </w:r>
          </w:p>
        </w:tc>
        <w:tc>
          <w:tcPr/>
          <w:p>
            <w:pPr>
              <w:pStyle w:val="Compact"/>
              <w:jc w:val="left"/>
            </w:pPr>
            <w:r>
              <w:t xml:space="preserve">¥200,000</w:t>
            </w:r>
          </w:p>
        </w:tc>
        <w:tc>
          <w:tcPr/>
          <w:p>
            <w:pPr>
              <w:pStyle w:val="Compact"/>
              <w:jc w:val="left"/>
            </w:pPr>
            <w:r>
              <w:t xml:space="preserve">¥600,000</w:t>
            </w:r>
          </w:p>
        </w:tc>
        <w:tc>
          <w:tcPr/>
          <w:p>
            <w:pPr>
              <w:pStyle w:val="Compact"/>
              <w:jc w:val="left"/>
            </w:pPr>
            <w:r>
              <w:t xml:space="preserve">Incl. travel to venues</w:t>
            </w:r>
          </w:p>
        </w:tc>
      </w:tr>
      <w:tr>
        <w:tc>
          <w:tcPr/>
          <w:p>
            <w:pPr>
              <w:pStyle w:val="Compact"/>
              <w:jc w:val="left"/>
            </w:pPr>
            <w:r>
              <w:t xml:space="preserve">9</w:t>
            </w:r>
          </w:p>
        </w:tc>
        <w:tc>
          <w:tcPr/>
          <w:p>
            <w:pPr>
              <w:pStyle w:val="Compact"/>
              <w:jc w:val="left"/>
            </w:pPr>
            <w:r>
              <w:t xml:space="preserve">Actor Visa &amp; Work Permit Processing (if non-resident)</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Immigration support, Osaka</w:t>
            </w:r>
          </w:p>
        </w:tc>
      </w:tr>
      <w:tr>
        <w:tc>
          <w:tcPr/>
          <w:p>
            <w:pPr>
              <w:pStyle w:val="Compact"/>
              <w:jc w:val="left"/>
            </w:pPr>
            <w:r>
              <w:t xml:space="preserve">10</w:t>
            </w:r>
          </w:p>
        </w:tc>
        <w:tc>
          <w:tcPr/>
          <w:p>
            <w:pPr>
              <w:pStyle w:val="Compact"/>
              <w:jc w:val="left"/>
            </w:pPr>
            <w:r>
              <w:t xml:space="preserve">Management &amp; Agency Fee (Kuroda Talent Management)</w:t>
            </w:r>
          </w:p>
        </w:tc>
        <w:tc>
          <w:tcPr/>
          <w:p>
            <w:pPr>
              <w:pStyle w:val="Compact"/>
              <w:jc w:val="left"/>
            </w:pPr>
            <w:r>
              <w:t xml:space="preserve">10% of subtotal</w:t>
            </w:r>
          </w:p>
        </w:tc>
        <w:tc>
          <w:tcPr/>
          <w:p>
            <w:pPr>
              <w:pStyle w:val="Compact"/>
              <w:jc w:val="left"/>
            </w:pPr>
            <w:r>
              <w:t xml:space="preserve">—</w:t>
            </w:r>
          </w:p>
        </w:tc>
        <w:tc>
          <w:tcPr/>
          <w:p>
            <w:pPr>
              <w:pStyle w:val="Compact"/>
              <w:jc w:val="left"/>
            </w:pPr>
            <w:r>
              <w:t xml:space="preserve">¥3,247,800</w:t>
            </w:r>
          </w:p>
        </w:tc>
        <w:tc>
          <w:tcPr/>
          <w:p>
            <w:pPr>
              <w:pStyle w:val="Compact"/>
              <w:jc w:val="left"/>
            </w:pPr>
            <w:r>
              <w:t xml:space="preserve">Standard industry rate</w:t>
            </w:r>
          </w:p>
        </w:tc>
      </w:tr>
      <w:tr>
        <w:tc>
          <w:tcPr>
            <w:gridSpan w:val="4"/>
          </w:tcPr>
          <w:p>
            <w:pPr>
              <w:pStyle w:val="Compact"/>
              <w:jc w:val="left"/>
            </w:pPr>
            <w:r>
              <w:t xml:space="preserve">SUBTOTAL (JPY)</w:t>
            </w:r>
          </w:p>
        </w:tc>
        <w:tc>
          <w:tcPr/>
          <w:p>
            <w:pPr>
              <w:pStyle w:val="Compact"/>
              <w:jc w:val="left"/>
            </w:pPr>
            <w:r>
              <w:t xml:space="preserve">¥32,478,000</w:t>
            </w:r>
          </w:p>
        </w:tc>
        <w:tc>
          <w:tcPr/>
          <w:p>
            <w:pPr>
              <w:pStyle w:val="Compact"/>
            </w:pPr>
          </w:p>
        </w:tc>
      </w:tr>
      <w:tr>
        <w:tc>
          <w:tcPr>
            <w:gridSpan w:val="4"/>
          </w:tcPr>
          <w:p>
            <w:pPr>
              <w:pStyle w:val="Compact"/>
              <w:jc w:val="left"/>
            </w:pPr>
            <w:r>
              <w:t xml:space="preserve">CONSUMPTION TAX (10% — Japan National Tax Agency)</w:t>
            </w:r>
          </w:p>
        </w:tc>
        <w:tc>
          <w:tcPr/>
          <w:p>
            <w:pPr>
              <w:pStyle w:val="Compact"/>
              <w:jc w:val="left"/>
            </w:pPr>
            <w:r>
              <w:t xml:space="preserve">¥3,247,800</w:t>
            </w:r>
          </w:p>
        </w:tc>
        <w:tc>
          <w:tcPr/>
          <w:p>
            <w:pPr>
              <w:pStyle w:val="Compact"/>
            </w:pPr>
          </w:p>
        </w:tc>
      </w:tr>
      <w:tr>
        <w:tc>
          <w:tcPr>
            <w:gridSpan w:val="4"/>
          </w:tcPr>
          <w:p>
            <w:pPr>
              <w:pStyle w:val="Compact"/>
              <w:jc w:val="left"/>
            </w:pPr>
            <w:r>
              <w:t xml:space="preserve">GRAND TOTAL (JPY)</w:t>
            </w:r>
          </w:p>
        </w:tc>
        <w:tc>
          <w:tcPr/>
          <w:p>
            <w:pPr>
              <w:pStyle w:val="Compact"/>
              <w:jc w:val="left"/>
            </w:pPr>
            <w:r>
              <w:t xml:space="preserve">¥35,725,800</w:t>
            </w:r>
          </w:p>
        </w:tc>
        <w:tc>
          <w:tcPr/>
          <w:p>
            <w:pPr>
              <w:pStyle w:val="Compact"/>
            </w:pPr>
          </w:p>
        </w:tc>
      </w:tr>
      <w:tr>
        <w:tc>
          <w:tcPr>
            <w:gridSpan w:val="4"/>
          </w:tcPr>
          <w:p>
            <w:pPr>
              <w:pStyle w:val="Compact"/>
              <w:jc w:val="left"/>
            </w:pPr>
            <w:r>
              <w:t xml:space="preserve">GRAND TOTAL (USD, approx. at ¥150/USD)</w:t>
            </w:r>
          </w:p>
        </w:tc>
        <w:tc>
          <w:tcPr/>
          <w:p>
            <w:pPr>
              <w:pStyle w:val="Compact"/>
              <w:jc w:val="left"/>
            </w:pPr>
            <w:r>
              <w:t xml:space="preserve">$238,172</w:t>
            </w:r>
          </w:p>
        </w:tc>
        <w:tc>
          <w:tcPr/>
          <w:p>
            <w:pPr>
              <w:pStyle w:val="Compact"/>
            </w:pP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(JPY)</w:t>
            </w:r>
          </w:p>
        </w:tc>
        <w:tc>
          <w:tcPr/>
          <w:p>
            <w:pPr>
              <w:pStyle w:val="Compact"/>
              <w:jc w:val="left"/>
            </w:pPr>
            <w:r>
              <w:t xml:space="preserve">Due Date</w:t>
            </w:r>
          </w:p>
        </w:tc>
      </w:tr>
      <w:tr>
        <w:tc>
          <w:tcPr/>
          <w:p>
            <w:pPr>
              <w:pStyle w:val="Compact"/>
              <w:jc w:val="left"/>
            </w:pPr>
            <w:r>
              <w:t xml:space="preserve">Contract Execution &amp; Actor Booking Confirmation</w:t>
            </w:r>
          </w:p>
        </w:tc>
        <w:tc>
          <w:tcPr/>
          <w:p>
            <w:pPr>
              <w:pStyle w:val="Compact"/>
              <w:jc w:val="left"/>
            </w:pPr>
            <w:r>
              <w:t xml:space="preserve">30%</w:t>
            </w:r>
          </w:p>
        </w:tc>
        <w:tc>
          <w:tcPr/>
          <w:p>
            <w:pPr>
              <w:pStyle w:val="Compact"/>
              <w:jc w:val="left"/>
            </w:pPr>
            <w:r>
              <w:t xml:space="preserve">¥10,717,740</w:t>
            </w:r>
          </w:p>
        </w:tc>
        <w:tc>
          <w:tcPr/>
          <w:p>
            <w:pPr>
              <w:pStyle w:val="Compact"/>
              <w:jc w:val="left"/>
            </w:pPr>
            <w:r>
              <w:t xml:space="preserve">July 1, 2025</w:t>
            </w:r>
          </w:p>
        </w:tc>
      </w:tr>
      <w:tr>
        <w:tc>
          <w:tcPr/>
          <w:p>
            <w:pPr>
              <w:pStyle w:val="Compact"/>
              <w:jc w:val="left"/>
            </w:pPr>
            <w:r>
              <w:t xml:space="preserve">Mid-Production (Day 36 of shooting, Osaka)</w:t>
            </w:r>
          </w:p>
        </w:tc>
        <w:tc>
          <w:tcPr/>
          <w:p>
            <w:pPr>
              <w:pStyle w:val="Compact"/>
              <w:jc w:val="left"/>
            </w:pPr>
            <w:r>
              <w:t xml:space="preserve">40%</w:t>
            </w:r>
          </w:p>
        </w:tc>
        <w:tc>
          <w:tcPr/>
          <w:p>
            <w:pPr>
              <w:pStyle w:val="Compact"/>
              <w:jc w:val="left"/>
            </w:pPr>
            <w:r>
              <w:t xml:space="preserve">¥14,290,320</w:t>
            </w:r>
          </w:p>
        </w:tc>
        <w:tc>
          <w:tcPr/>
          <w:p>
            <w:pPr>
              <w:pStyle w:val="Compact"/>
              <w:jc w:val="left"/>
            </w:pPr>
            <w:r>
              <w:t xml:space="preserve">September 15, 2025</w:t>
            </w:r>
          </w:p>
        </w:tc>
      </w:tr>
      <w:tr>
        <w:tc>
          <w:tcPr/>
          <w:p>
            <w:pPr>
              <w:pStyle w:val="Compact"/>
              <w:jc w:val="left"/>
            </w:pPr>
            <w:r>
              <w:t xml:space="preserve">Final Delivery &amp; Wrap (Post-production clearance)</w:t>
            </w:r>
          </w:p>
        </w:tc>
        <w:tc>
          <w:tcPr/>
          <w:p>
            <w:pPr>
              <w:pStyle w:val="Compact"/>
              <w:jc w:val="left"/>
            </w:pPr>
            <w:r>
              <w:t xml:space="preserve">30%</w:t>
            </w:r>
          </w:p>
        </w:tc>
        <w:tc>
          <w:tcPr/>
          <w:p>
            <w:pPr>
              <w:pStyle w:val="Compact"/>
              <w:jc w:val="left"/>
            </w:pPr>
            <w:r>
              <w:t xml:space="preserve">¥10,717,740</w:t>
            </w:r>
          </w:p>
        </w:tc>
        <w:tc>
          <w:tcPr/>
          <w:p>
            <w:pPr>
              <w:pStyle w:val="Compact"/>
              <w:jc w:val="left"/>
            </w:pPr>
            <w:r>
              <w:t xml:space="preserve">November 15, 2025</w:t>
            </w:r>
          </w:p>
        </w:tc>
      </w:tr>
    </w:tbl>
    <w:p>
      <w:pPr>
        <w:pStyle w:val="BodyText"/>
      </w:pPr>
      <w:r>
        <w:t xml:space="preserve">5. Terms &amp; Conditions</w:t>
      </w:r>
    </w:p>
    <w:p>
      <w:pPr>
        <w:numPr>
          <w:ilvl w:val="0"/>
          <w:numId w:val="1001"/>
        </w:numPr>
        <w:pStyle w:val="Compact"/>
      </w:pPr>
      <w:r>
        <w:rPr>
          <w:bCs/>
          <w:b/>
        </w:rPr>
        <w:t xml:space="preserve">5.1</w:t>
      </w:r>
      <w:r>
        <w:t xml:space="preserve"> </w:t>
      </w:r>
      <w:r>
        <w:t xml:space="preserve">This Quotation Estimate is valid for thirty (30) calendar days from the date of issue. Beyond this period, all rates for the Actor engagement in Japan Osaka are subject to revision based on market conditions and availability.</w:t>
      </w:r>
    </w:p>
    <w:p>
      <w:pPr>
        <w:numPr>
          <w:ilvl w:val="0"/>
          <w:numId w:val="1001"/>
        </w:numPr>
        <w:pStyle w:val="Compact"/>
      </w:pPr>
      <w:r>
        <w:rPr>
          <w:bCs/>
          <w:b/>
        </w:rPr>
        <w:t xml:space="preserve">5.2</w:t>
      </w:r>
      <w:r>
        <w:t xml:space="preserve"> </w:t>
      </w:r>
      <w:r>
        <w:t xml:space="preserve">The Actor shall be bound by a non-disclosure agreement (NDA) covering all production materials, scripts, and creative content developed during the engagement in Osaka, Japan. Breach of confidentiality shall result in immediate contract termination and financial penalty as stipulated in the master service agreement.</w:t>
      </w:r>
    </w:p>
    <w:p>
      <w:pPr>
        <w:numPr>
          <w:ilvl w:val="0"/>
          <w:numId w:val="1001"/>
        </w:numPr>
        <w:pStyle w:val="Compact"/>
      </w:pPr>
      <w:r>
        <w:rPr>
          <w:bCs/>
          <w:b/>
        </w:rPr>
        <w:t xml:space="preserve">5.3</w:t>
      </w:r>
      <w:r>
        <w:t xml:space="preserve"> </w:t>
      </w:r>
      <w:r>
        <w:t xml:space="preserve">All Actor services shall be performed in accordance with the Labor Standards Act of Japan and the specific regulations of Osaka Prefecture. Working hours shall not exceed twelve (12) consecutive hours per day, with mandatory rest periods as mandated by Japanese labor law.</w:t>
      </w:r>
    </w:p>
    <w:p>
      <w:pPr>
        <w:numPr>
          <w:ilvl w:val="0"/>
          <w:numId w:val="1001"/>
        </w:numPr>
        <w:pStyle w:val="Compact"/>
      </w:pPr>
      <w:r>
        <w:rPr>
          <w:bCs/>
          <w:b/>
        </w:rPr>
        <w:t xml:space="preserve">5.4</w:t>
      </w:r>
      <w:r>
        <w:t xml:space="preserve"> </w:t>
      </w:r>
      <w:r>
        <w:t xml:space="preserve">The Client agrees to provide the Actor with a dedicated production assistant, meal service on set, and safe working conditions at all Osaka filming locations. Any location-specific safety assessments shall be conducted prior to the Actor's arrival on site.</w:t>
      </w:r>
    </w:p>
    <w:p>
      <w:pPr>
        <w:numPr>
          <w:ilvl w:val="0"/>
          <w:numId w:val="1001"/>
        </w:numPr>
        <w:pStyle w:val="Compact"/>
      </w:pPr>
      <w:r>
        <w:rPr>
          <w:bCs/>
          <w:b/>
        </w:rPr>
        <w:t xml:space="preserve">5.5</w:t>
      </w:r>
      <w:r>
        <w:t xml:space="preserve"> </w:t>
      </w:r>
      <w:r>
        <w:t xml:space="preserve">In the event of production delays attributable to weather, permit issues, or force majeure events affecting the Osaka filming schedule, the Actor's daily fee shall continue to accrue at 50% of the standard rate for up to ten (10) additional days. Beyond this threshold, a mutual renegotiation clause shall be invoked.</w:t>
      </w:r>
    </w:p>
    <w:p>
      <w:pPr>
        <w:numPr>
          <w:ilvl w:val="0"/>
          <w:numId w:val="1001"/>
        </w:numPr>
        <w:pStyle w:val="Compact"/>
      </w:pPr>
      <w:r>
        <w:rPr>
          <w:bCs/>
          <w:b/>
        </w:rPr>
        <w:t xml:space="preserve">5.6</w:t>
      </w:r>
      <w:r>
        <w:t xml:space="preserve"> </w:t>
      </w:r>
      <w:r>
        <w:t xml:space="preserve">All payments shall be made via bank transfer to the account designated by Kuroda Talent Management Co., Ltd. in Osaka, Japan. Late payments shall incur a penalty of 1.5% per month, in compliance with the Japanese Late Payment of Compensation Act.</w:t>
      </w:r>
    </w:p>
    <w:p>
      <w:pPr>
        <w:numPr>
          <w:ilvl w:val="0"/>
          <w:numId w:val="1001"/>
        </w:numPr>
        <w:pStyle w:val="Compact"/>
      </w:pPr>
      <w:r>
        <w:rPr>
          <w:bCs/>
          <w:b/>
        </w:rPr>
        <w:t xml:space="preserve">5.7</w:t>
      </w:r>
      <w:r>
        <w:t xml:space="preserve"> </w:t>
      </w:r>
      <w:r>
        <w:t xml:space="preserve">The Actor retains full moral rights to their performance under Japanese Copyright Law (Act No. 48 of 1970). The Client is granted a perpetual, worldwide license to use the Actor's performance in all distribution channels, including theatrical release in Japan, international streaming platforms, and home video.</w:t>
      </w:r>
    </w:p>
    <w:p>
      <w:pPr>
        <w:numPr>
          <w:ilvl w:val="0"/>
          <w:numId w:val="1001"/>
        </w:numPr>
        <w:pStyle w:val="Compact"/>
      </w:pPr>
      <w:r>
        <w:rPr>
          <w:bCs/>
          <w:b/>
        </w:rPr>
        <w:t xml:space="preserve">5.8</w:t>
      </w:r>
      <w:r>
        <w:t xml:space="preserve"> </w:t>
      </w:r>
      <w:r>
        <w:t xml:space="preserve">This Quotation Estimate does not constitute a binding contract until both parties execute the formal Master Service Agreement. All terms herein are subject to final legal review by counsel in Osaka, Japan.</w:t>
      </w:r>
    </w:p>
    <w:p>
      <w:pPr>
        <w:pStyle w:val="FirstParagraph"/>
      </w:pPr>
      <w:r>
        <w:t xml:space="preserve">6. Acceptance &amp; Authorization</w:t>
      </w:r>
    </w:p>
    <w:p>
      <w:pPr>
        <w:pStyle w:val="BodyText"/>
      </w:pPr>
      <w:r>
        <w:t xml:space="preserve">By signing below, the Client acknowledges receipt of this Quotation Estimate for Actor services in Japan Osaka and agrees to the terms, conditions, and financial obligations outlined herein. Kuroda Talent Management Co., Ltd. confirms the availability of the named Actor for the specified production period and commits to delivering all services as described.</w:t>
      </w:r>
    </w:p>
    <w:p>
      <w:pPr>
        <w:pStyle w:val="BodyText"/>
      </w:pPr>
      <w:r>
        <w:rPr>
          <w:bCs/>
          <w:b/>
        </w:rPr>
        <w:t xml:space="preserve">For the Client:</w:t>
      </w:r>
      <w:r>
        <w:br/>
      </w:r>
      <w:r>
        <w:t xml:space="preserve">Osaka Metropolitan Film &amp; Television Production Group</w:t>
      </w:r>
    </w:p>
    <w:p>
      <w:pPr>
        <w:pStyle w:val="BodyText"/>
      </w:pPr>
      <w:r>
        <w:t xml:space="preserve">Name: Takeshi Yamamoto</w:t>
      </w:r>
      <w:r>
        <w:br/>
      </w:r>
      <w:r>
        <w:t xml:space="preserve">Title: Director of Production Affairs</w:t>
      </w:r>
      <w:r>
        <w:br/>
      </w:r>
      <w:r>
        <w:t xml:space="preserve">Date: ______________________</w:t>
      </w:r>
    </w:p>
    <w:p>
      <w:pPr>
        <w:pStyle w:val="BodyText"/>
      </w:pPr>
      <w:r>
        <w:rPr>
          <w:bCs/>
          <w:b/>
        </w:rPr>
        <w:t xml:space="preserve">For the Provider:</w:t>
      </w:r>
      <w:r>
        <w:br/>
      </w:r>
      <w:r>
        <w:t xml:space="preserve">Kuroda Talent Management Co., Ltd.</w:t>
      </w:r>
    </w:p>
    <w:p>
      <w:pPr>
        <w:pStyle w:val="BodyText"/>
      </w:pPr>
      <w:r>
        <w:t xml:space="preserve">Name: Haruka Kuroda</w:t>
      </w:r>
      <w:r>
        <w:br/>
      </w:r>
      <w:r>
        <w:t xml:space="preserve">Title: Chief Executive Officer</w:t>
      </w:r>
      <w:r>
        <w:br/>
      </w:r>
      <w:r>
        <w:t xml:space="preserve">Date: ______________________</w:t>
      </w:r>
    </w:p>
    <w:p>
      <w:pPr>
        <w:pStyle w:val="BodyText"/>
      </w:pPr>
      <w:r>
        <w:t xml:space="preserve">Quotation Estimate QE-OSK-2025-0472 — Actor Services — Japan Osaka — Issued by Kuroda Talent Management Co., Ltd.</w:t>
      </w:r>
      <w:r>
        <w:br/>
      </w:r>
      <w:r>
        <w:t xml:space="preserve">This document is confidential and intended solely for the named recipient. Unauthorized reproduction or distribution is prohibited under Japanese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Japan Osaka</dc:title>
  <dc:creator/>
  <dc:language>en</dc:language>
  <cp:keywords/>
  <dcterms:created xsi:type="dcterms:W3CDTF">2026-10-10T03:41:35Z</dcterms:created>
  <dcterms:modified xsi:type="dcterms:W3CDTF">2026-10-10T03:41:35Z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