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stagecraft-talent-agency"/>
    <w:p>
      <w:pPr>
        <w:pStyle w:val="Heading1"/>
      </w:pPr>
      <w:r>
        <w:t xml:space="preserve">STAGECRAFT TALENT AGENCY</w:t>
      </w:r>
    </w:p>
    <w:p>
      <w:pPr>
        <w:pStyle w:val="FirstParagraph"/>
      </w:pPr>
      <w:r>
        <w:t xml:space="preserve">Professional Actor &amp; Performance Services</w:t>
      </w:r>
    </w:p>
    <w:p>
      <w:pPr>
        <w:pStyle w:val="BodyText"/>
      </w:pPr>
      <w:r>
        <w:t xml:space="preserve">Office 12, Al Hamra Tower, Al Hamra Street, Kuwait City, Kuwait</w:t>
      </w:r>
    </w:p>
    <w:p>
      <w:pPr>
        <w:pStyle w:val="BodyText"/>
      </w:pPr>
      <w:r>
        <w:t xml:space="preserve">Tel: +965-2244-7890 | Email: info@stagecraftkw.com</w:t>
      </w:r>
    </w:p>
    <w:bookmarkEnd w:id="20"/>
    <w:tbl>
      <w:tblPr>
        <w:tblStyle w:val="Table"/>
        <w:tblW w:type="pct" w:w="5000"/>
        <w:tblLook w:firstRow="0" w:lastRow="0" w:firstColumn="0" w:lastColumn="0" w:noHBand="0" w:noVBand="0" w:val="0000"/>
      </w:tblPr>
      <w:tblGrid>
        <w:gridCol w:w="3960"/>
        <w:gridCol w:w="3960"/>
      </w:tblGrid>
      <w:tr>
        <w:tc>
          <w:tcPr/>
          <w:p>
            <w:pPr>
              <w:pStyle w:val="Heading2"/>
              <w:jc w:val="left"/>
            </w:pPr>
            <w:bookmarkStart w:id="21" w:name="quotation-estimate"/>
            <w:r>
              <w:t xml:space="preserve">QUOTATION ESTIMATE</w:t>
            </w:r>
            <w:bookmarkEnd w:id="21"/>
          </w:p>
          <w:p>
            <w:pPr>
              <w:jc w:val="left"/>
            </w:pPr>
            <w:r>
              <w:rPr>
                <w:bCs/>
                <w:b/>
              </w:rPr>
              <w:t xml:space="preserve">Quotation No.:</w:t>
            </w:r>
            <w:r>
              <w:t xml:space="preserve"> </w:t>
            </w:r>
            <w:r>
              <w:t xml:space="preserve">QTE-KWT-2025-0472</w:t>
            </w:r>
          </w:p>
          <w:p>
            <w:pPr>
              <w:jc w:val="left"/>
            </w:pPr>
            <w:r>
              <w:rPr>
                <w:bCs/>
                <w:b/>
              </w:rPr>
              <w:t xml:space="preserve">Date of Issue:</w:t>
            </w:r>
            <w:r>
              <w:t xml:space="preserve"> </w:t>
            </w:r>
            <w:r>
              <w:t xml:space="preserve">14 June 2025</w:t>
            </w:r>
          </w:p>
          <w:p>
            <w:pPr>
              <w:jc w:val="left"/>
            </w:pPr>
            <w:r>
              <w:rPr>
                <w:bCs/>
                <w:b/>
              </w:rPr>
              <w:t xml:space="preserve">Valid Until:</w:t>
            </w:r>
            <w:r>
              <w:t xml:space="preserve"> </w:t>
            </w:r>
            <w:r>
              <w:t xml:space="preserve">14 July 2025 (30 days)</w:t>
            </w:r>
          </w:p>
        </w:tc>
        <w:tc>
          <w:tcPr/>
          <w:p>
            <w:pPr>
              <w:jc w:val="right"/>
            </w:pPr>
            <w:r>
              <w:rPr>
                <w:bCs/>
                <w:b/>
              </w:rPr>
              <w:t xml:space="preserve">Prepared For:</w:t>
            </w:r>
          </w:p>
          <w:p>
            <w:pPr>
              <w:jc w:val="right"/>
            </w:pPr>
            <w:r>
              <w:t xml:space="preserve">Al Noor Entertainment Productions LLC</w:t>
            </w:r>
          </w:p>
          <w:p>
            <w:pPr>
              <w:jc w:val="right"/>
            </w:pPr>
            <w:r>
              <w:t xml:space="preserve">Al Salem Road, Kuwait City, Kuwait</w:t>
            </w:r>
          </w:p>
          <w:p>
            <w:pPr>
              <w:jc w:val="right"/>
            </w:pPr>
            <w:r>
              <w:t xml:space="preserve">Attn: Mr. Faisal Al-Rashidi, Production Director</w:t>
            </w:r>
          </w:p>
        </w:tc>
      </w:tr>
    </w:tbl>
    <w:bookmarkStart w:id="22" w:name="purpose-of-this-quotation-estimate"/>
    <w:p>
      <w:pPr>
        <w:pStyle w:val="Heading2"/>
      </w:pPr>
      <w:r>
        <w:t xml:space="preserve">1. PURPOSE OF THIS QUOTATION ESTIMATE</w:t>
      </w:r>
    </w:p>
    <w:p>
      <w:pPr>
        <w:pStyle w:val="FirstParagraph"/>
      </w:pPr>
      <w:r>
        <w:t xml:space="preserve">This Quotation Estimate is issued by Stagecraft Talent Agency in response to the formal request submitted by Al Noor Entertainment Productions LLC for the professional engagement of a lead Actor for an upcoming theatrical production scheduled to take place in Kuwait, Kuwait City. This document outlines the complete scope of services, associated costs, payment structure, and contractual terms governing the Actor's participation in the production. All figures presented in this Quotation Estimate are denominated in Kuwaiti Dinar (KWD) and are subject to the validity period stated above.</w:t>
      </w:r>
    </w:p>
    <w:bookmarkEnd w:id="22"/>
    <w:bookmarkStart w:id="23" w:name="scope-of-services-actor-engagement"/>
    <w:p>
      <w:pPr>
        <w:pStyle w:val="Heading2"/>
      </w:pPr>
      <w:r>
        <w:t xml:space="preserve">2. SCOPE OF SERVICES – ACTOR ENGAGEMENT</w:t>
      </w:r>
    </w:p>
    <w:p>
      <w:pPr>
        <w:pStyle w:val="FirstParagraph"/>
      </w:pPr>
      <w:r>
        <w:t xml:space="preserve">The Actor identified for this engagement is a professionally trained performer with over twelve years of experience in stage, television, and film productions across the Gulf region. The scope of the Actor's duties in Kuwait, Kuwait City, shall include but not be limited to the following:</w:t>
      </w:r>
    </w:p>
    <w:p>
      <w:pPr>
        <w:numPr>
          <w:ilvl w:val="0"/>
          <w:numId w:val="1001"/>
        </w:numPr>
        <w:pStyle w:val="Compact"/>
      </w:pPr>
      <w:r>
        <w:t xml:space="preserve">Attendance at all scheduled rehearsals (minimum 15 rehearsal sessions) at the designated venue in Kuwait City, Kuwait.</w:t>
      </w:r>
    </w:p>
    <w:p>
      <w:pPr>
        <w:numPr>
          <w:ilvl w:val="0"/>
          <w:numId w:val="1001"/>
        </w:numPr>
        <w:pStyle w:val="Compact"/>
      </w:pPr>
      <w:r>
        <w:t xml:space="preserve">Full performance in the lead role across 22 scheduled shows at the Kuwait City Cultural Centre, Al Salmiya District.</w:t>
      </w:r>
    </w:p>
    <w:p>
      <w:pPr>
        <w:numPr>
          <w:ilvl w:val="0"/>
          <w:numId w:val="1001"/>
        </w:numPr>
        <w:pStyle w:val="Compact"/>
      </w:pPr>
      <w:r>
        <w:t xml:space="preserve">Participation in two (2) promotional press events and one (1) public premiere event in Kuwait, Kuwait City.</w:t>
      </w:r>
    </w:p>
    <w:p>
      <w:pPr>
        <w:numPr>
          <w:ilvl w:val="0"/>
          <w:numId w:val="1001"/>
        </w:numPr>
        <w:pStyle w:val="Compact"/>
      </w:pPr>
      <w:r>
        <w:t xml:space="preserve">Availability for a minimum of three (3) hours per day during the rehearsal and performance period.</w:t>
      </w:r>
    </w:p>
    <w:p>
      <w:pPr>
        <w:numPr>
          <w:ilvl w:val="0"/>
          <w:numId w:val="1001"/>
        </w:numPr>
        <w:pStyle w:val="Compact"/>
      </w:pPr>
      <w:r>
        <w:t xml:space="preserve">Compliance with all production schedules, call sheets, and directorial instructions issued by the production team.</w:t>
      </w:r>
    </w:p>
    <w:p>
      <w:pPr>
        <w:numPr>
          <w:ilvl w:val="0"/>
          <w:numId w:val="1001"/>
        </w:numPr>
        <w:pStyle w:val="Compact"/>
      </w:pPr>
      <w:r>
        <w:t xml:space="preserve">Provision of appropriate costumes and personal grooming in accordance with the character requirements outlined in the production script.</w:t>
      </w:r>
    </w:p>
    <w:p>
      <w:pPr>
        <w:numPr>
          <w:ilvl w:val="0"/>
          <w:numId w:val="1001"/>
        </w:numPr>
        <w:pStyle w:val="Compact"/>
      </w:pPr>
      <w:r>
        <w:t xml:space="preserve">Adherence to all local regulations and cultural sensitivities applicable to public performances in Kuwait, Kuwait City.</w:t>
      </w:r>
    </w:p>
    <w:bookmarkEnd w:id="23"/>
    <w:bookmarkStart w:id="24" w:name="itemized-cost-breakdown"/>
    <w:p>
      <w:pPr>
        <w:pStyle w:val="Heading2"/>
      </w:pPr>
      <w:r>
        <w:t xml:space="preserve">3. ITEMIZED COST BREAKDOWN</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right"/>
            </w:pPr>
            <w:r>
              <w:t xml:space="preserve">Quantity</w:t>
            </w:r>
          </w:p>
        </w:tc>
        <w:tc>
          <w:tcPr/>
          <w:p>
            <w:pPr>
              <w:pStyle w:val="Compact"/>
              <w:jc w:val="right"/>
            </w:pPr>
            <w:r>
              <w:t xml:space="preserve">Unit Rate (KWD)</w:t>
            </w:r>
          </w:p>
        </w:tc>
        <w:tc>
          <w:tcPr/>
          <w:p>
            <w:pPr>
              <w:pStyle w:val="Compact"/>
              <w:jc w:val="right"/>
            </w:pPr>
            <w:r>
              <w:t xml:space="preserve">Total (KWD)</w:t>
            </w:r>
          </w:p>
        </w:tc>
      </w:tr>
      <w:tr>
        <w:tc>
          <w:tcPr/>
          <w:p>
            <w:pPr>
              <w:pStyle w:val="Compact"/>
              <w:jc w:val="left"/>
            </w:pPr>
            <w:r>
              <w:t xml:space="preserve">1</w:t>
            </w:r>
          </w:p>
        </w:tc>
        <w:tc>
          <w:tcPr/>
          <w:p>
            <w:pPr>
              <w:pStyle w:val="Compact"/>
              <w:jc w:val="left"/>
            </w:pPr>
            <w:r>
              <w:t xml:space="preserve">Actor Professional Fee – Lead Role (22 performances)</w:t>
            </w:r>
          </w:p>
        </w:tc>
        <w:tc>
          <w:tcPr/>
          <w:p>
            <w:pPr>
              <w:pStyle w:val="Compact"/>
              <w:jc w:val="right"/>
            </w:pPr>
            <w:r>
              <w:t xml:space="preserve">22</w:t>
            </w:r>
          </w:p>
        </w:tc>
        <w:tc>
          <w:tcPr/>
          <w:p>
            <w:pPr>
              <w:pStyle w:val="Compact"/>
              <w:jc w:val="right"/>
            </w:pPr>
            <w:r>
              <w:t xml:space="preserve">185.000</w:t>
            </w:r>
          </w:p>
        </w:tc>
        <w:tc>
          <w:tcPr/>
          <w:p>
            <w:pPr>
              <w:pStyle w:val="Compact"/>
              <w:jc w:val="right"/>
            </w:pPr>
            <w:r>
              <w:t xml:space="preserve">4,070.000</w:t>
            </w:r>
          </w:p>
        </w:tc>
      </w:tr>
      <w:tr>
        <w:tc>
          <w:tcPr/>
          <w:p>
            <w:pPr>
              <w:pStyle w:val="Compact"/>
              <w:jc w:val="left"/>
            </w:pPr>
            <w:r>
              <w:t xml:space="preserve">2</w:t>
            </w:r>
          </w:p>
        </w:tc>
        <w:tc>
          <w:tcPr/>
          <w:p>
            <w:pPr>
              <w:pStyle w:val="Compact"/>
              <w:jc w:val="left"/>
            </w:pPr>
            <w:r>
              <w:t xml:space="preserve">Rehearsal Fee (15 sessions, 3 hours each)</w:t>
            </w:r>
          </w:p>
        </w:tc>
        <w:tc>
          <w:tcPr/>
          <w:p>
            <w:pPr>
              <w:pStyle w:val="Compact"/>
              <w:jc w:val="right"/>
            </w:pPr>
            <w:r>
              <w:t xml:space="preserve">15</w:t>
            </w:r>
          </w:p>
        </w:tc>
        <w:tc>
          <w:tcPr/>
          <w:p>
            <w:pPr>
              <w:pStyle w:val="Compact"/>
              <w:jc w:val="right"/>
            </w:pPr>
            <w:r>
              <w:t xml:space="preserve">95.000</w:t>
            </w:r>
          </w:p>
        </w:tc>
        <w:tc>
          <w:tcPr/>
          <w:p>
            <w:pPr>
              <w:pStyle w:val="Compact"/>
              <w:jc w:val="right"/>
            </w:pPr>
            <w:r>
              <w:t xml:space="preserve">1,425.000</w:t>
            </w:r>
          </w:p>
        </w:tc>
      </w:tr>
      <w:tr>
        <w:tc>
          <w:tcPr/>
          <w:p>
            <w:pPr>
              <w:pStyle w:val="Compact"/>
              <w:jc w:val="left"/>
            </w:pPr>
            <w:r>
              <w:t xml:space="preserve">3</w:t>
            </w:r>
          </w:p>
        </w:tc>
        <w:tc>
          <w:tcPr/>
          <w:p>
            <w:pPr>
              <w:pStyle w:val="Compact"/>
              <w:jc w:val="left"/>
            </w:pPr>
            <w:r>
              <w:t xml:space="preserve">Promotional &amp; Press Event Appearances (3 events)</w:t>
            </w:r>
          </w:p>
        </w:tc>
        <w:tc>
          <w:tcPr/>
          <w:p>
            <w:pPr>
              <w:pStyle w:val="Compact"/>
              <w:jc w:val="right"/>
            </w:pPr>
            <w:r>
              <w:t xml:space="preserve">3</w:t>
            </w:r>
          </w:p>
        </w:tc>
        <w:tc>
          <w:tcPr/>
          <w:p>
            <w:pPr>
              <w:pStyle w:val="Compact"/>
              <w:jc w:val="right"/>
            </w:pPr>
            <w:r>
              <w:t xml:space="preserve">250.000</w:t>
            </w:r>
          </w:p>
        </w:tc>
        <w:tc>
          <w:tcPr/>
          <w:p>
            <w:pPr>
              <w:pStyle w:val="Compact"/>
              <w:jc w:val="right"/>
            </w:pPr>
            <w:r>
              <w:t xml:space="preserve">750.000</w:t>
            </w:r>
          </w:p>
        </w:tc>
      </w:tr>
      <w:tr>
        <w:tc>
          <w:tcPr/>
          <w:p>
            <w:pPr>
              <w:pStyle w:val="Compact"/>
              <w:jc w:val="left"/>
            </w:pPr>
            <w:r>
              <w:t xml:space="preserve">4</w:t>
            </w:r>
          </w:p>
        </w:tc>
        <w:tc>
          <w:tcPr/>
          <w:p>
            <w:pPr>
              <w:pStyle w:val="Compact"/>
              <w:jc w:val="left"/>
            </w:pPr>
            <w:r>
              <w:t xml:space="preserve">Accommodation – 5-star hotel, Kuwait City (28 nights)</w:t>
            </w:r>
          </w:p>
        </w:tc>
        <w:tc>
          <w:tcPr/>
          <w:p>
            <w:pPr>
              <w:pStyle w:val="Compact"/>
              <w:jc w:val="right"/>
            </w:pPr>
            <w:r>
              <w:t xml:space="preserve">28</w:t>
            </w:r>
          </w:p>
        </w:tc>
        <w:tc>
          <w:tcPr/>
          <w:p>
            <w:pPr>
              <w:pStyle w:val="Compact"/>
              <w:jc w:val="right"/>
            </w:pPr>
            <w:r>
              <w:t xml:space="preserve">120.000</w:t>
            </w:r>
          </w:p>
        </w:tc>
        <w:tc>
          <w:tcPr/>
          <w:p>
            <w:pPr>
              <w:pStyle w:val="Compact"/>
              <w:jc w:val="right"/>
            </w:pPr>
            <w:r>
              <w:t xml:space="preserve">3,360.000</w:t>
            </w:r>
          </w:p>
        </w:tc>
      </w:tr>
      <w:tr>
        <w:tc>
          <w:tcPr/>
          <w:p>
            <w:pPr>
              <w:pStyle w:val="Compact"/>
              <w:jc w:val="left"/>
            </w:pPr>
            <w:r>
              <w:t xml:space="preserve">5</w:t>
            </w:r>
          </w:p>
        </w:tc>
        <w:tc>
          <w:tcPr/>
          <w:p>
            <w:pPr>
              <w:pStyle w:val="Compact"/>
              <w:jc w:val="left"/>
            </w:pPr>
            <w:r>
              <w:t xml:space="preserve">Round-trip Airfare (International to Kuwait International Airport)</w:t>
            </w:r>
          </w:p>
        </w:tc>
        <w:tc>
          <w:tcPr/>
          <w:p>
            <w:pPr>
              <w:pStyle w:val="Compact"/>
              <w:jc w:val="right"/>
            </w:pPr>
            <w:r>
              <w:t xml:space="preserve">1</w:t>
            </w:r>
          </w:p>
        </w:tc>
        <w:tc>
          <w:tcPr/>
          <w:p>
            <w:pPr>
              <w:pStyle w:val="Compact"/>
              <w:jc w:val="right"/>
            </w:pPr>
            <w:r>
              <w:t xml:space="preserve">480.000</w:t>
            </w:r>
          </w:p>
        </w:tc>
        <w:tc>
          <w:tcPr/>
          <w:p>
            <w:pPr>
              <w:pStyle w:val="Compact"/>
              <w:jc w:val="right"/>
            </w:pPr>
            <w:r>
              <w:t xml:space="preserve">480.000</w:t>
            </w:r>
          </w:p>
        </w:tc>
      </w:tr>
      <w:tr>
        <w:tc>
          <w:tcPr/>
          <w:p>
            <w:pPr>
              <w:pStyle w:val="Compact"/>
              <w:jc w:val="left"/>
            </w:pPr>
            <w:r>
              <w:t xml:space="preserve">6</w:t>
            </w:r>
          </w:p>
        </w:tc>
        <w:tc>
          <w:tcPr/>
          <w:p>
            <w:pPr>
              <w:pStyle w:val="Compact"/>
              <w:jc w:val="left"/>
            </w:pPr>
            <w:r>
              <w:t xml:space="preserve">Local Transportation &amp; Daily Per Diem (28 days)</w:t>
            </w:r>
          </w:p>
        </w:tc>
        <w:tc>
          <w:tcPr/>
          <w:p>
            <w:pPr>
              <w:pStyle w:val="Compact"/>
              <w:jc w:val="right"/>
            </w:pPr>
            <w:r>
              <w:t xml:space="preserve">28</w:t>
            </w:r>
          </w:p>
        </w:tc>
        <w:tc>
          <w:tcPr/>
          <w:p>
            <w:pPr>
              <w:pStyle w:val="Compact"/>
              <w:jc w:val="right"/>
            </w:pPr>
            <w:r>
              <w:t xml:space="preserve">35.000</w:t>
            </w:r>
          </w:p>
        </w:tc>
        <w:tc>
          <w:tcPr/>
          <w:p>
            <w:pPr>
              <w:pStyle w:val="Compact"/>
              <w:jc w:val="right"/>
            </w:pPr>
            <w:r>
              <w:t xml:space="preserve">980.000</w:t>
            </w:r>
          </w:p>
        </w:tc>
      </w:tr>
      <w:tr>
        <w:tc>
          <w:tcPr/>
          <w:p>
            <w:pPr>
              <w:pStyle w:val="Compact"/>
              <w:jc w:val="left"/>
            </w:pPr>
            <w:r>
              <w:t xml:space="preserve">7</w:t>
            </w:r>
          </w:p>
        </w:tc>
        <w:tc>
          <w:tcPr/>
          <w:p>
            <w:pPr>
              <w:pStyle w:val="Compact"/>
              <w:jc w:val="left"/>
            </w:pPr>
            <w:r>
              <w:t xml:space="preserve">Visa Processing &amp; Work Permit (Kuwait Ministry of Interior)</w:t>
            </w:r>
          </w:p>
        </w:tc>
        <w:tc>
          <w:tcPr/>
          <w:p>
            <w:pPr>
              <w:pStyle w:val="Compact"/>
              <w:jc w:val="right"/>
            </w:pPr>
            <w:r>
              <w:t xml:space="preserve">1</w:t>
            </w:r>
          </w:p>
        </w:tc>
        <w:tc>
          <w:tcPr/>
          <w:p>
            <w:pPr>
              <w:pStyle w:val="Compact"/>
              <w:jc w:val="right"/>
            </w:pPr>
            <w:r>
              <w:t xml:space="preserve">350.000</w:t>
            </w:r>
          </w:p>
        </w:tc>
        <w:tc>
          <w:tcPr/>
          <w:p>
            <w:pPr>
              <w:pStyle w:val="Compact"/>
              <w:jc w:val="right"/>
            </w:pPr>
            <w:r>
              <w:t xml:space="preserve">350.000</w:t>
            </w:r>
          </w:p>
        </w:tc>
      </w:tr>
      <w:tr>
        <w:tc>
          <w:tcPr/>
          <w:p>
            <w:pPr>
              <w:pStyle w:val="Compact"/>
              <w:jc w:val="left"/>
            </w:pPr>
            <w:r>
              <w:t xml:space="preserve">8</w:t>
            </w:r>
          </w:p>
        </w:tc>
        <w:tc>
          <w:tcPr/>
          <w:p>
            <w:pPr>
              <w:pStyle w:val="Compact"/>
              <w:jc w:val="left"/>
            </w:pPr>
            <w:r>
              <w:t xml:space="preserve">Comprehensive Medical &amp; Liability Insurance (28 days)</w:t>
            </w:r>
          </w:p>
        </w:tc>
        <w:tc>
          <w:tcPr/>
          <w:p>
            <w:pPr>
              <w:pStyle w:val="Compact"/>
              <w:jc w:val="right"/>
            </w:pPr>
            <w:r>
              <w:t xml:space="preserve">1</w:t>
            </w:r>
          </w:p>
        </w:tc>
        <w:tc>
          <w:tcPr/>
          <w:p>
            <w:pPr>
              <w:pStyle w:val="Compact"/>
              <w:jc w:val="right"/>
            </w:pPr>
            <w:r>
              <w:t xml:space="preserve">275.000</w:t>
            </w:r>
          </w:p>
        </w:tc>
        <w:tc>
          <w:tcPr/>
          <w:p>
            <w:pPr>
              <w:pStyle w:val="Compact"/>
              <w:jc w:val="right"/>
            </w:pPr>
            <w:r>
              <w:t xml:space="preserve">275.000</w:t>
            </w:r>
          </w:p>
        </w:tc>
      </w:tr>
      <w:tr>
        <w:tc>
          <w:tcPr/>
          <w:p>
            <w:pPr>
              <w:pStyle w:val="Compact"/>
              <w:jc w:val="left"/>
            </w:pPr>
            <w:r>
              <w:t xml:space="preserve">9</w:t>
            </w:r>
          </w:p>
        </w:tc>
        <w:tc>
          <w:tcPr/>
          <w:p>
            <w:pPr>
              <w:pStyle w:val="Compact"/>
              <w:jc w:val="left"/>
            </w:pPr>
            <w:r>
              <w:t xml:space="preserve">Agency Service Fee (10% of subtotal)</w:t>
            </w:r>
          </w:p>
        </w:tc>
        <w:tc>
          <w:tcPr/>
          <w:p>
            <w:pPr>
              <w:pStyle w:val="Compact"/>
              <w:jc w:val="right"/>
            </w:pPr>
            <w:r>
              <w:t xml:space="preserve">1</w:t>
            </w:r>
          </w:p>
        </w:tc>
        <w:tc>
          <w:tcPr/>
          <w:p>
            <w:pPr>
              <w:pStyle w:val="Compact"/>
              <w:jc w:val="right"/>
            </w:pPr>
            <w:r>
              <w:t xml:space="preserve">1,169.000</w:t>
            </w:r>
          </w:p>
        </w:tc>
        <w:tc>
          <w:tcPr/>
          <w:p>
            <w:pPr>
              <w:pStyle w:val="Compact"/>
              <w:jc w:val="right"/>
            </w:pPr>
            <w:r>
              <w:t xml:space="preserve">1,169.000</w:t>
            </w:r>
          </w:p>
        </w:tc>
      </w:tr>
      <w:tr>
        <w:tc>
          <w:tcPr>
            <w:gridSpan w:val="4"/>
          </w:tcPr>
          <w:p>
            <w:pPr>
              <w:pStyle w:val="Compact"/>
              <w:jc w:val="left"/>
            </w:pPr>
            <w:r>
              <w:t xml:space="preserve">TOTAL QUOTATION ESTIMATE AMOUNT</w:t>
            </w:r>
          </w:p>
        </w:tc>
        <w:tc>
          <w:tcPr/>
          <w:p>
            <w:pPr>
              <w:pStyle w:val="Compact"/>
              <w:jc w:val="right"/>
            </w:pPr>
            <w:r>
              <w:t xml:space="preserve">12,859.000 KWD</w:t>
            </w:r>
          </w:p>
        </w:tc>
      </w:tr>
    </w:tbl>
    <w:bookmarkEnd w:id="24"/>
    <w:bookmarkStart w:id="25" w:name="payment-terms"/>
    <w:p>
      <w:pPr>
        <w:pStyle w:val="Heading2"/>
      </w:pPr>
      <w:r>
        <w:t xml:space="preserve">4. PAYMENT TERMS</w:t>
      </w:r>
    </w:p>
    <w:p>
      <w:pPr>
        <w:pStyle w:val="FirstParagraph"/>
      </w:pPr>
      <w:r>
        <w:t xml:space="preserve">Payment for the services outlined in this Quotation Estimate shall be made in accordance with the following schedule:</w:t>
      </w:r>
    </w:p>
    <w:p>
      <w:pPr>
        <w:numPr>
          <w:ilvl w:val="0"/>
          <w:numId w:val="1002"/>
        </w:numPr>
        <w:pStyle w:val="Compact"/>
      </w:pPr>
      <w:r>
        <w:rPr>
          <w:bCs/>
          <w:b/>
        </w:rPr>
        <w:t xml:space="preserve">50% Advance Payment (KWD 6,429.500):</w:t>
      </w:r>
      <w:r>
        <w:t xml:space="preserve"> </w:t>
      </w:r>
      <w:r>
        <w:t xml:space="preserve">Due within seven (7) business days of acceptance of this Quotation Estimate, prior to the Actor's travel to Kuwait, Kuwait City.</w:t>
      </w:r>
    </w:p>
    <w:p>
      <w:pPr>
        <w:numPr>
          <w:ilvl w:val="0"/>
          <w:numId w:val="1002"/>
        </w:numPr>
        <w:pStyle w:val="Compact"/>
      </w:pPr>
      <w:r>
        <w:rPr>
          <w:bCs/>
          <w:b/>
        </w:rPr>
        <w:t xml:space="preserve">30% Mid-Production Payment (KWD 3,857.700):</w:t>
      </w:r>
      <w:r>
        <w:t xml:space="preserve"> </w:t>
      </w:r>
      <w:r>
        <w:t xml:space="preserve">Due upon completion of the tenth (10th) scheduled performance.</w:t>
      </w:r>
    </w:p>
    <w:p>
      <w:pPr>
        <w:numPr>
          <w:ilvl w:val="0"/>
          <w:numId w:val="1002"/>
        </w:numPr>
        <w:pStyle w:val="Compact"/>
      </w:pPr>
      <w:r>
        <w:rPr>
          <w:bCs/>
          <w:b/>
        </w:rPr>
        <w:t xml:space="preserve">20% Final Payment (KWD 2,571.800):</w:t>
      </w:r>
      <w:r>
        <w:t xml:space="preserve"> </w:t>
      </w:r>
      <w:r>
        <w:t xml:space="preserve">Due within five (5) business days following the final performance and completion of all promotional obligations.</w:t>
      </w:r>
    </w:p>
    <w:p>
      <w:pPr>
        <w:pStyle w:val="FirstParagraph"/>
      </w:pPr>
      <w:r>
        <w:t xml:space="preserve">All payments shall be made via bank transfer to the account designated by Stagecraft Talent Agency. Late payments shall incur a penalty of 2% per month on the outstanding balance.</w:t>
      </w:r>
    </w:p>
    <w:bookmarkEnd w:id="25"/>
    <w:bookmarkStart w:id="26"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all rates and availability are subject to revision.</w:t>
      </w:r>
    </w:p>
    <w:p>
      <w:pPr>
        <w:numPr>
          <w:ilvl w:val="0"/>
          <w:numId w:val="1003"/>
        </w:numPr>
        <w:pStyle w:val="Compact"/>
      </w:pPr>
      <w:r>
        <w:t xml:space="preserve">The Actor's engagement is contingent upon the successful issuance of a valid work visa by the Kuwait Ministry of Interior. Should visa processing be delayed beyond fourteen (14) days, either party may terminate this agreement without penalty.</w:t>
      </w:r>
    </w:p>
    <w:p>
      <w:pPr>
        <w:numPr>
          <w:ilvl w:val="0"/>
          <w:numId w:val="1003"/>
        </w:numPr>
        <w:pStyle w:val="Compact"/>
      </w:pPr>
      <w:r>
        <w:t xml:space="preserve">All performances must comply with the cultural and legal standards of Kuwait, Kuwait City. The production company assumes full responsibility for obtaining all necessary performance permits from the Kuwait Ministry of Culture and Arts.</w:t>
      </w:r>
    </w:p>
    <w:p>
      <w:pPr>
        <w:numPr>
          <w:ilvl w:val="0"/>
          <w:numId w:val="1003"/>
        </w:numPr>
        <w:pStyle w:val="Compact"/>
      </w:pPr>
      <w:r>
        <w:t xml:space="preserve">The Actor shall not be required to perform any content that violates Kuwaiti law or public decency standards. Any such requirement shall be deemed outside the scope of this Quotation Estimate.</w:t>
      </w:r>
    </w:p>
    <w:p>
      <w:pPr>
        <w:numPr>
          <w:ilvl w:val="0"/>
          <w:numId w:val="1003"/>
        </w:numPr>
        <w:pStyle w:val="Compact"/>
      </w:pPr>
      <w:r>
        <w:t xml:space="preserve">Force majeure events, including but not limited to government-mandated closures, natural disasters, or public health emergencies in Kuwait City, shall suspend obligations under this agreement without liability to either party.</w:t>
      </w:r>
    </w:p>
    <w:p>
      <w:pPr>
        <w:numPr>
          <w:ilvl w:val="0"/>
          <w:numId w:val="1003"/>
        </w:numPr>
        <w:pStyle w:val="Compact"/>
      </w:pPr>
      <w:r>
        <w:t xml:space="preserve">Any changes to the scope of work, number of performances, or schedule must be agreed upon in writing by both parties and may result in a revised Quotation Estimate.</w:t>
      </w:r>
    </w:p>
    <w:p>
      <w:pPr>
        <w:numPr>
          <w:ilvl w:val="0"/>
          <w:numId w:val="1003"/>
        </w:numPr>
        <w:pStyle w:val="Compact"/>
      </w:pPr>
      <w:r>
        <w:t xml:space="preserve">This Quotation Estimate does not constitute a binding contract until a formal service agreement is executed by both parties.</w:t>
      </w:r>
    </w:p>
    <w:bookmarkEnd w:id="26"/>
    <w:bookmarkStart w:id="27" w:name="acceptance"/>
    <w:p>
      <w:pPr>
        <w:pStyle w:val="Heading2"/>
      </w:pPr>
      <w:r>
        <w:t xml:space="preserve">6. ACCEPTANCE</w:t>
      </w:r>
    </w:p>
    <w:p>
      <w:pPr>
        <w:pStyle w:val="FirstParagraph"/>
      </w:pPr>
      <w:r>
        <w:t xml:space="preserve">By signing below, the client acknowledges receipt of this Quotation Estimate for Actor services in Kuwait, Kuwait City, and agrees to the terms, conditions, and pricing outlined herein. This acceptance authorizes Stagecraft Talent Agency to proceed with the Actor's booking, visa processing, and travel arrangements.</w:t>
      </w:r>
    </w:p>
    <w:tbl>
      <w:tblPr>
        <w:tblStyle w:val="Table"/>
        <w:tblW w:type="pct" w:w="5000"/>
        <w:tblLook w:firstRow="0" w:lastRow="0" w:firstColumn="0" w:lastColumn="0" w:noHBand="0" w:noVBand="0" w:val="0000"/>
      </w:tblPr>
      <w:tblGrid>
        <w:gridCol w:w="3960"/>
        <w:gridCol w:w="3960"/>
      </w:tblGrid>
      <w:tr>
        <w:tc>
          <w:tcPr/>
          <w:p>
            <w:pPr>
              <w:jc w:val="left"/>
            </w:pPr>
            <w:r>
              <w:t xml:space="preserve">_______________________________</w:t>
            </w:r>
          </w:p>
          <w:p>
            <w:pPr>
              <w:jc w:val="left"/>
            </w:pPr>
            <w:r>
              <w:rPr>
                <w:bCs/>
                <w:b/>
              </w:rPr>
              <w:t xml:space="preserve">For: Stagecraft Talent Agency</w:t>
            </w:r>
          </w:p>
          <w:p>
            <w:pPr>
              <w:jc w:val="left"/>
            </w:pPr>
            <w:r>
              <w:t xml:space="preserve">Name: Sarah Al-Mutawa</w:t>
            </w:r>
          </w:p>
          <w:p>
            <w:pPr>
              <w:jc w:val="left"/>
            </w:pPr>
            <w:r>
              <w:t xml:space="preserve">Title: Managing Director</w:t>
            </w:r>
          </w:p>
          <w:p>
            <w:pPr>
              <w:jc w:val="left"/>
            </w:pPr>
            <w:r>
              <w:t xml:space="preserve">Date: _______________</w:t>
            </w:r>
          </w:p>
        </w:tc>
        <w:tc>
          <w:tcPr/>
          <w:p>
            <w:pPr>
              <w:jc w:val="left"/>
            </w:pPr>
            <w:r>
              <w:t xml:space="preserve">_______________________________</w:t>
            </w:r>
          </w:p>
          <w:p>
            <w:pPr>
              <w:jc w:val="left"/>
            </w:pPr>
            <w:r>
              <w:rPr>
                <w:bCs/>
                <w:b/>
              </w:rPr>
              <w:t xml:space="preserve">For: Al Noor Entertainment Productions LLC</w:t>
            </w:r>
          </w:p>
          <w:p>
            <w:pPr>
              <w:jc w:val="left"/>
            </w:pPr>
            <w:r>
              <w:t xml:space="preserve">Name: Faisal Al-Rashidi</w:t>
            </w:r>
          </w:p>
          <w:p>
            <w:pPr>
              <w:jc w:val="left"/>
            </w:pPr>
            <w:r>
              <w:t xml:space="preserve">Title: Production Director</w:t>
            </w:r>
          </w:p>
          <w:p>
            <w:pPr>
              <w:jc w:val="left"/>
            </w:pPr>
            <w:r>
              <w:t xml:space="preserve">Date: _______________</w:t>
            </w:r>
          </w:p>
        </w:tc>
      </w:tr>
    </w:tbl>
    <w:p>
      <w:pPr>
        <w:pStyle w:val="BodyText"/>
      </w:pPr>
      <w:r>
        <w:t xml:space="preserve">This Quotation Estimate was prepared exclusively for Al Noor Entertainment Productions LLC for Actor engagement in Kuwait, Kuwait City. Unauthorized reproduction or distribution is prohibited. © 2025 Stagecraft Talent Agency.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Actor Services - Kuwait Kuwait City</dc:title>
  <dc:creator/>
  <dc:language>en</dc:language>
  <cp:keywords/>
  <dcterms:created xsi:type="dcterms:W3CDTF">2026-10-10T05:08:03Z</dcterms:created>
  <dcterms:modified xsi:type="dcterms:W3CDTF">2026-10-10T05:08:03Z</dcterms:modified>
</cp:coreProperties>
</file>

<file path=docProps/custom.xml><?xml version="1.0" encoding="utf-8"?>
<Properties xmlns="http://schemas.openxmlformats.org/officeDocument/2006/custom-properties" xmlns:vt="http://schemas.openxmlformats.org/officeDocument/2006/docPropsVTypes"/>
</file>