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Actor Services — Saudi Arabia, Riyadh</w:t>
      </w:r>
    </w:p>
    <w:p>
      <w:pPr>
        <w:pStyle w:val="BodyText"/>
      </w:pPr>
      <w:r>
        <w:t xml:space="preserve">Al-Nakheel Entertainment &amp; Production Co., Ltd.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QTE-2025-RYD-0472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Prepared For</w:t>
            </w:r>
          </w:p>
        </w:tc>
        <w:tc>
          <w:tcPr/>
          <w:p>
            <w:pPr>
              <w:pStyle w:val="Compact"/>
              <w:jc w:val="left"/>
            </w:pPr>
            <w:r>
              <w:t xml:space="preserve">Riyadh Cultural Events Authority (RCEA)</w:t>
            </w:r>
          </w:p>
        </w:tc>
        <w:tc>
          <w:tcPr/>
          <w:p>
            <w:pPr>
              <w:pStyle w:val="Compact"/>
              <w:jc w:val="left"/>
            </w:pPr>
            <w:r>
              <w:t xml:space="preserve">Project Reference</w:t>
            </w:r>
          </w:p>
        </w:tc>
        <w:tc>
          <w:tcPr/>
          <w:p>
            <w:pPr>
              <w:pStyle w:val="Compact"/>
              <w:jc w:val="left"/>
            </w:pPr>
            <w:r>
              <w:t xml:space="preserve">RCEA-2025-ANNUAL-GALA</w:t>
            </w:r>
          </w:p>
        </w:tc>
      </w:tr>
      <w:tr>
        <w:tc>
          <w:tcPr/>
          <w:p>
            <w:pPr>
              <w:pStyle w:val="Compact"/>
              <w:jc w:val="left"/>
            </w:pPr>
            <w:r>
              <w:t xml:space="preserve">Prepared By</w:t>
            </w:r>
          </w:p>
        </w:tc>
        <w:tc>
          <w:tcPr/>
          <w:p>
            <w:pPr>
              <w:pStyle w:val="Compact"/>
              <w:jc w:val="left"/>
            </w:pPr>
            <w:r>
              <w:t xml:space="preserve">Al-Nakheel Entertainment &amp; Production Co., Ltd.</w:t>
            </w:r>
          </w:p>
        </w:tc>
        <w:tc>
          <w:tcPr/>
          <w:p>
            <w:pPr>
              <w:pStyle w:val="Compact"/>
              <w:jc w:val="left"/>
            </w:pPr>
            <w:r>
              <w:t xml:space="preserve">Contact</w:t>
            </w:r>
          </w:p>
        </w:tc>
        <w:tc>
          <w:tcPr/>
          <w:p>
            <w:pPr>
              <w:pStyle w:val="Compact"/>
              <w:jc w:val="left"/>
            </w:pPr>
            <w:r>
              <w:t xml:space="preserve">quotation@alnakheel-ent.sa | +966 11 456 7890</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Al-Nakheel Entertainment &amp; Production Co., Ltd. to provide a comprehensive and itemized financial breakdown for the engagement of a professional</w:t>
      </w:r>
      <w:r>
        <w:t xml:space="preserve"> </w:t>
      </w:r>
      <w:r>
        <w:t xml:space="preserve">Actor</w:t>
      </w:r>
      <w:r>
        <w:t xml:space="preserve"> </w:t>
      </w:r>
      <w:r>
        <w:t xml:space="preserve">for the upcoming Annual Cultural Gala to be held in</w:t>
      </w:r>
      <w:r>
        <w:t xml:space="preserve"> </w:t>
      </w:r>
      <w:r>
        <w:t xml:space="preserve">Saudi Arabia, Riyadh</w:t>
      </w:r>
      <w:r>
        <w:t xml:space="preserve">. The purpose of this document is to present all associated costs, deliverables, and contractual obligations in a transparent manner, enabling the client to make an informed procurement decision in full compliance with the Kingdom of Saudi Arabia's entertainment and cultural event regulations.</w:t>
      </w:r>
    </w:p>
    <w:p>
      <w:pPr>
        <w:pStyle w:val="BodyText"/>
      </w:pPr>
      <w:r>
        <w:t xml:space="preserve">The</w:t>
      </w:r>
      <w:r>
        <w:t xml:space="preserve"> </w:t>
      </w:r>
      <w:r>
        <w:t xml:space="preserve">Actor</w:t>
      </w:r>
      <w:r>
        <w:t xml:space="preserve"> </w:t>
      </w:r>
      <w:r>
        <w:t xml:space="preserve">engagement covers a principal lead role in a 45-minute theatrical performance segment, including rehearsals, on-set presence, costume coordination, and post-performance media appearances. All services will be delivered within the boundaries of Riyadh, Saudi Arabia, and shall adhere to the cultural and legal standards established by the General Entertainment Authority (GEA) of the Kingdom.</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Principal Actor — Lead Role Performance (45-min stage segment, Riyadh venue)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Rehearsal Sessions (3 full-day rehearsals at Al-Nakheel Studio, Riyadh)</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03</w:t>
            </w:r>
          </w:p>
        </w:tc>
        <w:tc>
          <w:tcPr/>
          <w:p>
            <w:pPr>
              <w:pStyle w:val="Compact"/>
              <w:jc w:val="left"/>
            </w:pPr>
            <w:r>
              <w:t xml:space="preserve">Actor Travel &amp; Accommodation (5-star hotel, Riyadh, 7 nights + domestic flights)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Costume Design, Tailoring &amp; Fitting (3 period-appropriate outfits, Riyadh-based atelier)</w:t>
            </w:r>
          </w:p>
        </w:tc>
        <w:tc>
          <w:tcPr/>
          <w:p>
            <w:pPr>
              <w:pStyle w:val="Compact"/>
              <w:jc w:val="left"/>
            </w:pPr>
            <w:r>
              <w:t xml:space="preserve">3</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05</w:t>
            </w:r>
          </w:p>
        </w:tc>
        <w:tc>
          <w:tcPr/>
          <w:p>
            <w:pPr>
              <w:pStyle w:val="Compact"/>
              <w:jc w:val="left"/>
            </w:pPr>
            <w:r>
              <w:t xml:space="preserve">On-Set Dialect Coach &amp; Cultural Consultant (Arabic dialect adaptation, Riyadh)</w:t>
            </w:r>
          </w:p>
        </w:tc>
        <w:tc>
          <w:tcPr/>
          <w:p>
            <w:pPr>
              <w:pStyle w:val="Compact"/>
              <w:jc w:val="left"/>
            </w:pPr>
            <w:r>
              <w:t xml:space="preserve">5 days</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06</w:t>
            </w:r>
          </w:p>
        </w:tc>
        <w:tc>
          <w:tcPr/>
          <w:p>
            <w:pPr>
              <w:pStyle w:val="Compact"/>
              <w:jc w:val="left"/>
            </w:pPr>
            <w:r>
              <w:t xml:space="preserve">Post-Performance Media Appearances (2 press conferences + 1 red-carpet event, Riyadh)</w:t>
            </w:r>
          </w:p>
        </w:tc>
        <w:tc>
          <w:tcPr/>
          <w:p>
            <w:pPr>
              <w:pStyle w:val="Compact"/>
              <w:jc w:val="left"/>
            </w:pPr>
            <w:r>
              <w:t xml:space="preserve">3</w:t>
            </w:r>
          </w:p>
        </w:tc>
        <w:tc>
          <w:tcPr/>
          <w:p>
            <w:pPr>
              <w:pStyle w:val="Compact"/>
              <w:jc w:val="left"/>
            </w:pPr>
            <w:r>
              <w:t xml:space="preserve">5,500.00</w:t>
            </w:r>
          </w:p>
        </w:tc>
        <w:tc>
          <w:tcPr/>
          <w:p>
            <w:pPr>
              <w:pStyle w:val="Compact"/>
              <w:jc w:val="left"/>
            </w:pPr>
            <w:r>
              <w:t xml:space="preserve">16,500.00</w:t>
            </w:r>
          </w:p>
        </w:tc>
      </w:tr>
      <w:tr>
        <w:tc>
          <w:tcPr/>
          <w:p>
            <w:pPr>
              <w:pStyle w:val="Compact"/>
              <w:jc w:val="left"/>
            </w:pPr>
            <w:r>
              <w:t xml:space="preserve">07</w:t>
            </w:r>
          </w:p>
        </w:tc>
        <w:tc>
          <w:tcPr/>
          <w:p>
            <w:pPr>
              <w:pStyle w:val="Compact"/>
              <w:jc w:val="left"/>
            </w:pPr>
            <w:r>
              <w:t xml:space="preserve">Insurance &amp; Liability Coverage (Actor personal accident + public liability, Kingdom of Saudi Arabia)</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08</w:t>
            </w:r>
          </w:p>
        </w:tc>
        <w:tc>
          <w:tcPr/>
          <w:p>
            <w:pPr>
              <w:pStyle w:val="Compact"/>
              <w:jc w:val="left"/>
            </w:pPr>
            <w:r>
              <w:t xml:space="preserve">Visa Processing, Work Permit &amp; GEA Compliance Filing (Saudi Arabia, Riyadh)</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Production Management &amp; On-Site Coordination (Riyadh venue, 10-day window)</w:t>
            </w:r>
          </w:p>
        </w:tc>
        <w:tc>
          <w:tcPr/>
          <w:p>
            <w:pPr>
              <w:pStyle w:val="Compact"/>
              <w:jc w:val="left"/>
            </w:pPr>
            <w:r>
              <w:t xml:space="preserve">10</w:t>
            </w:r>
          </w:p>
        </w:tc>
        <w:tc>
          <w:tcPr/>
          <w:p>
            <w:pPr>
              <w:pStyle w:val="Compact"/>
              <w:jc w:val="left"/>
            </w:pPr>
            <w:r>
              <w:t xml:space="preserve">2,400.00</w:t>
            </w:r>
          </w:p>
        </w:tc>
        <w:tc>
          <w:tcPr/>
          <w:p>
            <w:pPr>
              <w:pStyle w:val="Compact"/>
              <w:jc w:val="left"/>
            </w:pPr>
            <w:r>
              <w:t xml:space="preserve">24,000.00</w:t>
            </w:r>
          </w:p>
        </w:tc>
      </w:tr>
      <w:tr>
        <w:tc>
          <w:tcPr/>
          <w:p>
            <w:pPr>
              <w:pStyle w:val="Compact"/>
              <w:jc w:val="left"/>
            </w:pPr>
            <w:r>
              <w:t xml:space="preserve">10</w:t>
            </w:r>
          </w:p>
        </w:tc>
        <w:tc>
          <w:tcPr/>
          <w:p>
            <w:pPr>
              <w:pStyle w:val="Compact"/>
              <w:jc w:val="left"/>
            </w:pPr>
            <w:r>
              <w:t xml:space="preserve">Contingency &amp; Miscellaneous (10% of subtotal for unforeseen costs in Riyadh)</w:t>
            </w:r>
          </w:p>
        </w:tc>
        <w:tc>
          <w:tcPr/>
          <w:p>
            <w:pPr>
              <w:pStyle w:val="Compact"/>
              <w:jc w:val="left"/>
            </w:pPr>
            <w:r>
              <w:t xml:space="preserve">1</w:t>
            </w:r>
          </w:p>
        </w:tc>
        <w:tc>
          <w:tcPr/>
          <w:p>
            <w:pPr>
              <w:pStyle w:val="Compact"/>
              <w:jc w:val="left"/>
            </w:pPr>
            <w:r>
              <w:t xml:space="preserve">18,480.00</w:t>
            </w:r>
          </w:p>
        </w:tc>
        <w:tc>
          <w:tcPr/>
          <w:p>
            <w:pPr>
              <w:pStyle w:val="Compact"/>
              <w:jc w:val="left"/>
            </w:pPr>
            <w:r>
              <w:t xml:space="preserve">18,480.00</w:t>
            </w:r>
          </w:p>
        </w:tc>
      </w:tr>
      <w:tr>
        <w:tc>
          <w:tcPr>
            <w:gridSpan w:val="4"/>
          </w:tcPr>
          <w:p>
            <w:pPr>
              <w:pStyle w:val="Compact"/>
              <w:jc w:val="left"/>
            </w:pPr>
            <w:r>
              <w:t xml:space="preserve">GRAND TOTAL (SAR)</w:t>
            </w:r>
          </w:p>
        </w:tc>
        <w:tc>
          <w:tcPr/>
          <w:p>
            <w:pPr>
              <w:pStyle w:val="Compact"/>
              <w:jc w:val="left"/>
            </w:pPr>
            <w:r>
              <w:t xml:space="preserve">197,280.00</w:t>
            </w:r>
          </w:p>
        </w:tc>
      </w:tr>
      <w:tr>
        <w:tc>
          <w:tcPr>
            <w:gridSpan w:val="4"/>
          </w:tcPr>
          <w:p>
            <w:pPr>
              <w:pStyle w:val="Compact"/>
              <w:jc w:val="left"/>
            </w:pPr>
            <w:r>
              <w:t xml:space="preserve">VAT (15% — Kingdom of Saudi Arabia)</w:t>
            </w:r>
          </w:p>
        </w:tc>
        <w:tc>
          <w:tcPr/>
          <w:p>
            <w:pPr>
              <w:pStyle w:val="Compact"/>
              <w:jc w:val="left"/>
            </w:pPr>
            <w:r>
              <w:t xml:space="preserve">29,592.00</w:t>
            </w:r>
          </w:p>
        </w:tc>
      </w:tr>
      <w:tr>
        <w:tc>
          <w:tcPr>
            <w:gridSpan w:val="4"/>
          </w:tcPr>
          <w:p>
            <w:pPr>
              <w:pStyle w:val="Compact"/>
              <w:jc w:val="left"/>
            </w:pPr>
            <w:r>
              <w:t xml:space="preserve">TOTAL AMOUNT DUE (SAR)</w:t>
            </w:r>
          </w:p>
        </w:tc>
        <w:tc>
          <w:tcPr/>
          <w:p>
            <w:pPr>
              <w:pStyle w:val="Compact"/>
              <w:jc w:val="left"/>
            </w:pPr>
            <w:r>
              <w:t xml:space="preserve">226,872.00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Payment Schedule:</w:t>
      </w:r>
      <w:r>
        <w:t xml:space="preserve"> </w:t>
      </w:r>
      <w:r>
        <w:t xml:space="preserve">40% advance payment upon acceptance of this Quotation Estimate; 40% upon completion of rehearsals in Riyadh; 20% within 14 business days following the final performance date.</w:t>
      </w:r>
    </w:p>
    <w:p>
      <w:pPr>
        <w:numPr>
          <w:ilvl w:val="0"/>
          <w:numId w:val="1001"/>
        </w:numPr>
        <w:pStyle w:val="Compact"/>
      </w:pPr>
      <w:r>
        <w:rPr>
          <w:bCs/>
          <w:b/>
        </w:rPr>
        <w:t xml:space="preserve">Actor Availability:</w:t>
      </w:r>
      <w:r>
        <w:t xml:space="preserve"> </w:t>
      </w:r>
      <w:r>
        <w:t xml:space="preserve">The contracted Actor shall be available for a minimum of 10 consecutive days in Riyadh, Saudi Arabia, commencing on the date mutually agreed upon in the final service agreement.</w:t>
      </w:r>
    </w:p>
    <w:p>
      <w:pPr>
        <w:numPr>
          <w:ilvl w:val="0"/>
          <w:numId w:val="1001"/>
        </w:numPr>
        <w:pStyle w:val="Compact"/>
      </w:pPr>
      <w:r>
        <w:rPr>
          <w:bCs/>
          <w:b/>
        </w:rPr>
        <w:t xml:space="preserve">Cultural Compliance:</w:t>
      </w:r>
      <w:r>
        <w:t xml:space="preserve"> </w:t>
      </w:r>
      <w:r>
        <w:t xml:space="preserve">All performance content, costumes, and public appearances by the Actor shall be pre-approved by the General Entertainment Authority (GEA) and the Riyadh Cultural Events Authority prior to the event.</w:t>
      </w:r>
    </w:p>
    <w:p>
      <w:pPr>
        <w:numPr>
          <w:ilvl w:val="0"/>
          <w:numId w:val="1001"/>
        </w:numPr>
        <w:pStyle w:val="Compact"/>
      </w:pPr>
      <w:r>
        <w:rPr>
          <w:bCs/>
          <w:b/>
        </w:rPr>
        <w:t xml:space="preserve">Force Majeure:</w:t>
      </w:r>
      <w:r>
        <w:t xml:space="preserve"> </w:t>
      </w:r>
      <w:r>
        <w:t xml:space="preserve">Neither party shall be held liable for delays or cancellations caused by events beyond reasonable control, including but not limited to government-mandated restrictions in Saudi Arabia.</w:t>
      </w:r>
    </w:p>
    <w:p>
      <w:pPr>
        <w:numPr>
          <w:ilvl w:val="0"/>
          <w:numId w:val="1001"/>
        </w:numPr>
        <w:pStyle w:val="Compact"/>
      </w:pPr>
      <w:r>
        <w:rPr>
          <w:bCs/>
          <w:b/>
        </w:rPr>
        <w:t xml:space="preserve">Confidentiality:</w:t>
      </w:r>
      <w:r>
        <w:t xml:space="preserve"> </w:t>
      </w:r>
      <w:r>
        <w:t xml:space="preserve">Both parties agree to maintain strict confidentiality regarding the terms of this Quotation Estimate and all production materials related to the Actor's engagement in Riyadh.</w:t>
      </w:r>
    </w:p>
    <w:p>
      <w:pPr>
        <w:numPr>
          <w:ilvl w:val="0"/>
          <w:numId w:val="1001"/>
        </w:numPr>
        <w:pStyle w:val="Compact"/>
      </w:pPr>
      <w:r>
        <w:rPr>
          <w:bCs/>
          <w:b/>
        </w:rPr>
        <w:t xml:space="preserve">Dispute Resolution:</w:t>
      </w:r>
      <w:r>
        <w:t xml:space="preserve"> </w:t>
      </w:r>
      <w:r>
        <w:t xml:space="preserve">Any disputes arising from this engagement shall be resolved through arbitration in Riyadh, Saudi Arabia, in accordance with the laws of the Kingdom of Saudi Arabia.</w:t>
      </w:r>
    </w:p>
    <w:p>
      <w:pPr>
        <w:numPr>
          <w:ilvl w:val="0"/>
          <w:numId w:val="1001"/>
        </w:numPr>
        <w:pStyle w:val="Compact"/>
      </w:pPr>
      <w:r>
        <w:rPr>
          <w:bCs/>
          <w:b/>
        </w:rPr>
        <w:t xml:space="preserve">Quotation Validity:</w:t>
      </w:r>
      <w:r>
        <w:t xml:space="preserve"> </w:t>
      </w:r>
      <w:r>
        <w:t xml:space="preserve">This Quotation Estimate shall remain valid for thirty (30) calendar days from the date of issue. Beyond this period, all rates and availability terms are subject to revision.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Actor</w:t>
      </w:r>
      <w:r>
        <w:t xml:space="preserve"> </w:t>
      </w:r>
      <w:r>
        <w:t xml:space="preserve">engagement in</w:t>
      </w:r>
      <w:r>
        <w:t xml:space="preserve"> </w:t>
      </w:r>
      <w:r>
        <w:t xml:space="preserve">Saudi Arabia, Riyadh</w:t>
      </w:r>
      <w:r>
        <w:t xml:space="preserve"> </w:t>
      </w:r>
      <w:r>
        <w:t xml:space="preserve">and agrees to the terms, conditions, and financial obligations outlined herein. This document does not constitute a binding contract until a formal Service Agreement is executed by both parties.</w:t>
      </w:r>
    </w:p>
    <w:p>
      <w:pPr>
        <w:pStyle w:val="BodyText"/>
      </w:pPr>
      <w:r>
        <w:rPr>
          <w:bCs/>
          <w:b/>
        </w:rPr>
        <w:t xml:space="preserve">For Al-Nakheel Entertainment &amp; Production Co., Ltd.</w:t>
      </w:r>
    </w:p>
    <w:p>
      <w:pPr>
        <w:pStyle w:val="BodyText"/>
      </w:pPr>
      <w:r>
        <w:t xml:space="preserve">Name: Khalid Al-Rashid</w:t>
      </w:r>
      <w:r>
        <w:br/>
      </w:r>
      <w:r>
        <w:t xml:space="preserve">Designation: General Manager</w:t>
      </w:r>
      <w:r>
        <w:br/>
      </w:r>
      <w:r>
        <w:t xml:space="preserve">Date: _______________</w:t>
      </w:r>
    </w:p>
    <w:p>
      <w:pPr>
        <w:pStyle w:val="BodyText"/>
      </w:pPr>
      <w:r>
        <w:rPr>
          <w:bCs/>
          <w:b/>
        </w:rPr>
        <w:t xml:space="preserve">For Riyadh Cultural Events Authority (RCEA)</w:t>
      </w:r>
    </w:p>
    <w:p>
      <w:pPr>
        <w:pStyle w:val="BodyText"/>
      </w:pPr>
      <w:r>
        <w:t xml:space="preserve">Name: _______________________</w:t>
      </w:r>
      <w:r>
        <w:br/>
      </w:r>
      <w:r>
        <w:t xml:space="preserve">Designation: _______________________</w:t>
      </w:r>
      <w:r>
        <w:br/>
      </w:r>
      <w:r>
        <w:t xml:space="preserve">Date: _______________</w:t>
      </w:r>
    </w:p>
    <w:p>
      <w:pPr>
        <w:pStyle w:val="BodyText"/>
      </w:pPr>
      <w:r>
        <w:rPr>
          <w:bCs/>
          <w:b/>
        </w:rPr>
        <w:t xml:space="preserve">Note:</w:t>
      </w:r>
      <w:r>
        <w:t xml:space="preserve"> </w:t>
      </w:r>
      <w:r>
        <w:t xml:space="preserve">This Quotation Estimate is prepared exclusively for the project referenced above and is not transferable. All prices are quoted in Saudi Riyal (SAR) and are inclusive of all applicable local taxes in Riyadh, Saudi Arabia, unless otherwise stated. Al-Nakheel Entertainment &amp; Production Co., Ltd. reserves the right to amend rates upon changes in regulatory requirements by the Kingdom of Saudi Arabia. For inquiries, please contact our Riyadh office at +966 11 456 7890 or quotation@alnakheel-ent.sa.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Saudi Arabia Riyadh</dc:title>
  <dc:creator/>
  <dc:language>en</dc:language>
  <cp:keywords/>
  <dcterms:created xsi:type="dcterms:W3CDTF">2026-10-10T02:09:44Z</dcterms:created>
  <dcterms:modified xsi:type="dcterms:W3CDTF">2026-10-10T02:09:44Z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