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Supply</w:t>
      </w:r>
      <w:r>
        <w:t xml:space="preserve"> </w:t>
      </w:r>
      <w:r>
        <w:t xml:space="preserve">&amp;</w:t>
      </w:r>
      <w:r>
        <w:t xml:space="preserve"> </w:t>
      </w:r>
      <w:r>
        <w:t xml:space="preserve">Installation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X0cfc02ebe0f8b839fffacd3bd57248f683ade12"/>
    <w:p>
      <w:pPr>
        <w:pStyle w:val="Heading2"/>
      </w:pPr>
      <w:r>
        <w:t xml:space="preserve">Actor Supply, Commissioning &amp; Installation Services</w:t>
      </w:r>
    </w:p>
    <w:p>
      <w:pPr>
        <w:pStyle w:val="FirstParagraph"/>
      </w:pPr>
      <w:r>
        <w:t xml:space="preserve">United Arab Emirates — Dubai</w:t>
      </w:r>
    </w:p>
    <w:bookmarkEnd w:id="20"/>
    <w:bookmarkEnd w:id="21"/>
    <w:p>
      <w:pPr>
        <w:pStyle w:val="BodyText"/>
      </w:pPr>
      <w:r>
        <w:rPr>
          <w:bCs/>
          <w:b/>
        </w:rPr>
        <w:t xml:space="preserve">Supplier:</w:t>
      </w:r>
      <w:r>
        <w:br/>
      </w:r>
      <w:r>
        <w:t xml:space="preserve">Gulf Precision Automation LLC</w:t>
      </w:r>
      <w:r>
        <w:br/>
      </w:r>
      <w:r>
        <w:t xml:space="preserve">Office 14, Level 3, Al Futtaim Tower</w:t>
      </w:r>
      <w:r>
        <w:br/>
      </w:r>
      <w:r>
        <w:t xml:space="preserve">Sheikh Zayed Road, Dubai, United Arab Emirates</w:t>
      </w:r>
      <w:r>
        <w:br/>
      </w:r>
      <w:r>
        <w:t xml:space="preserve">Tel: +971 4 555 0192 | Email: quotes@gulfprecision.ae</w:t>
      </w:r>
      <w:r>
        <w:br/>
      </w:r>
      <w:r>
        <w:t xml:space="preserve">Trade License No: 1048293 | VAT No: 100234567000003</w:t>
      </w:r>
    </w:p>
    <w:p>
      <w:pPr>
        <w:pStyle w:val="BodyText"/>
      </w:pPr>
      <w:r>
        <w:rPr>
          <w:bCs/>
          <w:b/>
        </w:rPr>
        <w:t xml:space="preserve">Client:</w:t>
      </w:r>
      <w:r>
        <w:br/>
      </w:r>
      <w:r>
        <w:t xml:space="preserve">Emirates Infrastructure Development Co.</w:t>
      </w:r>
      <w:r>
        <w:br/>
      </w:r>
      <w:r>
        <w:t xml:space="preserve">Plot 27, Jebel Ali Free Zone</w:t>
      </w:r>
      <w:r>
        <w:br/>
      </w:r>
      <w:r>
        <w:t xml:space="preserve">Dubai, United Arab Emirates</w:t>
      </w:r>
      <w:r>
        <w:br/>
      </w:r>
      <w:r>
        <w:t xml:space="preserve">Attn: Eng. Khalid Al Mansouri</w:t>
      </w:r>
      <w:r>
        <w:br/>
      </w:r>
      <w:r>
        <w:t xml:space="preserve">Tel: +971 4 888 7721</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QTE-DXB-2025-04782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60 calendar days from date of issue</w:t>
            </w:r>
          </w:p>
        </w:tc>
      </w:tr>
      <w:tr>
        <w:tc>
          <w:tcPr/>
          <w:p>
            <w:pPr>
              <w:pStyle w:val="Compact"/>
              <w:jc w:val="left"/>
            </w:pPr>
            <w:r>
              <w:t xml:space="preserve">Project Reference</w:t>
            </w:r>
          </w:p>
        </w:tc>
        <w:tc>
          <w:tcPr/>
          <w:p>
            <w:pPr>
              <w:pStyle w:val="Compact"/>
              <w:jc w:val="left"/>
            </w:pPr>
            <w:r>
              <w:t xml:space="preserve">EIDC-JAFZ-2025-Phase III</w:t>
            </w:r>
          </w:p>
        </w:tc>
      </w:tr>
      <w:tr>
        <w:tc>
          <w:tcPr/>
          <w:p>
            <w:pPr>
              <w:pStyle w:val="Compact"/>
              <w:jc w:val="left"/>
            </w:pPr>
            <w:r>
              <w:t xml:space="preserve">Location of Work</w:t>
            </w:r>
          </w:p>
        </w:tc>
        <w:tc>
          <w:tcPr/>
          <w:p>
            <w:pPr>
              <w:pStyle w:val="Compact"/>
              <w:jc w:val="left"/>
            </w:pPr>
            <w:r>
              <w:t xml:space="preserve">United Arab Emirates, Dubai — Jebel Ali Industrial Area</w:t>
            </w:r>
          </w:p>
        </w:tc>
      </w:tr>
      <w:tr>
        <w:tc>
          <w:tcPr/>
          <w:p>
            <w:pPr>
              <w:pStyle w:val="Compact"/>
              <w:jc w:val="left"/>
            </w:pPr>
            <w:r>
              <w:t xml:space="preserve">Payment Currency</w:t>
            </w:r>
          </w:p>
        </w:tc>
        <w:tc>
          <w:tcPr/>
          <w:p>
            <w:pPr>
              <w:pStyle w:val="Compact"/>
              <w:jc w:val="left"/>
            </w:pPr>
            <w:r>
              <w:t xml:space="preserve">United Arab Emirates Dirham (AED)</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Gulf Precision Automation LLC in response to the formal request for pricing received from Emirates Infrastructure Development Co. regarding the supply, delivery, installation, and commissioning of industrial</w:t>
      </w:r>
      <w:r>
        <w:t xml:space="preserve"> </w:t>
      </w:r>
      <w:r>
        <w:t xml:space="preserve">Actor</w:t>
      </w:r>
      <w:r>
        <w:t xml:space="preserve"> </w:t>
      </w:r>
      <w:r>
        <w:t xml:space="preserve">units (electro-pneumatic actuators) for the Phase III expansion project located in</w:t>
      </w:r>
      <w:r>
        <w:t xml:space="preserve"> </w:t>
      </w:r>
      <w:r>
        <w:t xml:space="preserve">United Arab Emirates Dubai</w:t>
      </w:r>
      <w:r>
        <w:t xml:space="preserve">, specifically within the Jebel Ali Free Zone industrial complex.</w:t>
      </w:r>
    </w:p>
    <w:p>
      <w:pPr>
        <w:pStyle w:val="BodyText"/>
      </w:pPr>
      <w:r>
        <w:t xml:space="preserve">The scope of this</w:t>
      </w:r>
      <w:r>
        <w:t xml:space="preserve"> </w:t>
      </w:r>
      <w:r>
        <w:t xml:space="preserve">Quotation Estimate</w:t>
      </w:r>
      <w:r>
        <w:t xml:space="preserve"> </w:t>
      </w:r>
      <w:r>
        <w:t xml:space="preserve">encompasses the provision of twelve (12) high-performance electro-pneumatic</w:t>
      </w:r>
      <w:r>
        <w:t xml:space="preserve"> </w:t>
      </w:r>
      <w:r>
        <w:t xml:space="preserve">Actor</w:t>
      </w:r>
      <w:r>
        <w:t xml:space="preserve"> </w:t>
      </w:r>
      <w:r>
        <w:t xml:space="preserve">assemblies rated for a maximum operating pressure of 16 bar, each designed to interface with DN150 butterfly valves in the client’s process water distribution network. All</w:t>
      </w:r>
      <w:r>
        <w:t xml:space="preserve"> </w:t>
      </w:r>
      <w:r>
        <w:t xml:space="preserve">Actor</w:t>
      </w:r>
      <w:r>
        <w:t xml:space="preserve"> </w:t>
      </w:r>
      <w:r>
        <w:t xml:space="preserve">units shall comply with the International Electrotechnical Commission (IEC) 61508 functional safety standard, the European Union Machinery Directive 2006/42/EC, and the local regulatory requirements enforced by the Dubai Municipality and the Dubai Electricity and Water Authority (DEWA) for industrial installations within the</w:t>
      </w:r>
      <w:r>
        <w:t xml:space="preserve"> </w:t>
      </w:r>
      <w:r>
        <w:t xml:space="preserve">United Arab Emirates Dubai</w:t>
      </w:r>
      <w:r>
        <w:t xml:space="preserve"> </w:t>
      </w:r>
      <w:r>
        <w:t xml:space="preserve">jurisdiction.</w:t>
      </w:r>
    </w:p>
    <w:p>
      <w:pPr>
        <w:pStyle w:val="BodyText"/>
      </w:pPr>
      <w:r>
        <w:t xml:space="preserve">2. Itemized Pricing — Actor Components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Electro-pneumatic Actor assembly, DN150, 16 bar, IP67 rated, with integrated position feedback sensor and manual override lever</w:t>
            </w:r>
          </w:p>
        </w:tc>
        <w:tc>
          <w:tcPr/>
          <w:p>
            <w:pPr>
              <w:pStyle w:val="Compact"/>
              <w:jc w:val="left"/>
            </w:pPr>
            <w:r>
              <w:t xml:space="preserve">12</w:t>
            </w:r>
          </w:p>
        </w:tc>
        <w:tc>
          <w:tcPr/>
          <w:p>
            <w:pPr>
              <w:pStyle w:val="Compact"/>
              <w:jc w:val="left"/>
            </w:pPr>
            <w:r>
              <w:t xml:space="preserve">18,750.00</w:t>
            </w:r>
          </w:p>
        </w:tc>
        <w:tc>
          <w:tcPr/>
          <w:p>
            <w:pPr>
              <w:pStyle w:val="Compact"/>
              <w:jc w:val="left"/>
            </w:pPr>
            <w:r>
              <w:t xml:space="preserve">225,000.00</w:t>
            </w:r>
          </w:p>
        </w:tc>
        <w:tc>
          <w:tcPr/>
          <w:p>
            <w:pPr>
              <w:pStyle w:val="Compact"/>
              <w:jc w:val="left"/>
            </w:pPr>
            <w:r>
              <w:t xml:space="preserve">Brand: Siemens SPPA-T3000 series</w:t>
            </w:r>
          </w:p>
        </w:tc>
      </w:tr>
      <w:tr>
        <w:tc>
          <w:tcPr/>
          <w:p>
            <w:pPr>
              <w:pStyle w:val="Compact"/>
              <w:jc w:val="left"/>
            </w:pPr>
            <w:r>
              <w:t xml:space="preserve">2</w:t>
            </w:r>
          </w:p>
        </w:tc>
        <w:tc>
          <w:tcPr/>
          <w:p>
            <w:pPr>
              <w:pStyle w:val="Compact"/>
              <w:jc w:val="left"/>
            </w:pPr>
            <w:r>
              <w:t xml:space="preserve">Stainless steel 316L mounting flange kit and gasket set per Actor unit</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c>
          <w:tcPr/>
          <w:p>
            <w:pPr>
              <w:pStyle w:val="Compact"/>
              <w:jc w:val="left"/>
            </w:pPr>
            <w:r>
              <w:t xml:space="preserve">Includes torque-specification hardware</w:t>
            </w:r>
          </w:p>
        </w:tc>
      </w:tr>
      <w:tr>
        <w:tc>
          <w:tcPr/>
          <w:p>
            <w:pPr>
              <w:pStyle w:val="Compact"/>
              <w:jc w:val="left"/>
            </w:pPr>
            <w:r>
              <w:t xml:space="preserve">3</w:t>
            </w:r>
          </w:p>
        </w:tc>
        <w:tc>
          <w:tcPr/>
          <w:p>
            <w:pPr>
              <w:pStyle w:val="Compact"/>
              <w:jc w:val="left"/>
            </w:pPr>
            <w:r>
              <w:t xml:space="preserve">Control cabinet (IP55) with PLC interface, HMI touchscreen, and 24V DC power supply for Actor group control</w:t>
            </w:r>
          </w:p>
        </w:tc>
        <w:tc>
          <w:tcPr/>
          <w:p>
            <w:pPr>
              <w:pStyle w:val="Compact"/>
              <w:jc w:val="left"/>
            </w:pPr>
            <w:r>
              <w:t xml:space="preserve">2</w:t>
            </w:r>
          </w:p>
        </w:tc>
        <w:tc>
          <w:tcPr/>
          <w:p>
            <w:pPr>
              <w:pStyle w:val="Compact"/>
              <w:jc w:val="left"/>
            </w:pPr>
            <w:r>
              <w:t xml:space="preserve">34,500.00</w:t>
            </w:r>
          </w:p>
        </w:tc>
        <w:tc>
          <w:tcPr/>
          <w:p>
            <w:pPr>
              <w:pStyle w:val="Compact"/>
              <w:jc w:val="left"/>
            </w:pPr>
            <w:r>
              <w:t xml:space="preserve">69,000.00</w:t>
            </w:r>
          </w:p>
        </w:tc>
        <w:tc>
          <w:tcPr/>
          <w:p>
            <w:pPr>
              <w:pStyle w:val="Compact"/>
              <w:jc w:val="left"/>
            </w:pPr>
            <w:r>
              <w:t xml:space="preserve">One cabinet per 6 Actor units</w:t>
            </w:r>
          </w:p>
        </w:tc>
      </w:tr>
      <w:tr>
        <w:tc>
          <w:tcPr/>
          <w:p>
            <w:pPr>
              <w:pStyle w:val="Compact"/>
              <w:jc w:val="left"/>
            </w:pPr>
            <w:r>
              <w:t xml:space="preserve">4</w:t>
            </w:r>
          </w:p>
        </w:tc>
        <w:tc>
          <w:tcPr/>
          <w:p>
            <w:pPr>
              <w:pStyle w:val="Compact"/>
              <w:jc w:val="left"/>
            </w:pPr>
            <w:r>
              <w:t xml:space="preserve">On-site installation, mechanical alignment, and pneumatic line connection of all Actor units at the United Arab Emirates Dubai project site</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Incl. scaffolding and safety permits</w:t>
            </w:r>
          </w:p>
        </w:tc>
      </w:tr>
      <w:tr>
        <w:tc>
          <w:tcPr/>
          <w:p>
            <w:pPr>
              <w:pStyle w:val="Compact"/>
              <w:jc w:val="left"/>
            </w:pPr>
            <w:r>
              <w:t xml:space="preserve">5</w:t>
            </w:r>
          </w:p>
        </w:tc>
        <w:tc>
          <w:tcPr/>
          <w:p>
            <w:pPr>
              <w:pStyle w:val="Compact"/>
              <w:jc w:val="left"/>
            </w:pPr>
            <w:r>
              <w:t xml:space="preserve">Commissioning, loop testing, and functional safety verification of each Actor in accordance with IEC 61508 SIL-2</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c>
          <w:tcPr/>
          <w:p>
            <w:pPr>
              <w:pStyle w:val="Compact"/>
              <w:jc w:val="left"/>
            </w:pPr>
            <w:r>
              <w:t xml:space="preserve">Includes third-party witness testing</w:t>
            </w:r>
          </w:p>
        </w:tc>
      </w:tr>
      <w:tr>
        <w:tc>
          <w:tcPr/>
          <w:p>
            <w:pPr>
              <w:pStyle w:val="Compact"/>
              <w:jc w:val="left"/>
            </w:pPr>
            <w:r>
              <w:t xml:space="preserve">6</w:t>
            </w:r>
          </w:p>
        </w:tc>
        <w:tc>
          <w:tcPr/>
          <w:p>
            <w:pPr>
              <w:pStyle w:val="Compact"/>
              <w:jc w:val="left"/>
            </w:pPr>
            <w:r>
              <w:t xml:space="preserve">Operator training (2-day programme) and as-built documentation package in English and Arabic</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Conducted at client facility, Dubai</w:t>
            </w:r>
          </w:p>
        </w:tc>
      </w:tr>
      <w:tr>
        <w:tc>
          <w:tcPr/>
          <w:p>
            <w:pPr>
              <w:pStyle w:val="Compact"/>
              <w:jc w:val="left"/>
            </w:pPr>
            <w:r>
              <w:t xml:space="preserve">7</w:t>
            </w:r>
          </w:p>
        </w:tc>
        <w:tc>
          <w:tcPr/>
          <w:p>
            <w:pPr>
              <w:pStyle w:val="Compact"/>
              <w:jc w:val="left"/>
            </w:pPr>
            <w:r>
              <w:t xml:space="preserve">Freight, customs clearance, and insurance for delivery to Jebel Ali Free Zone, United Arab Emirates Dubai</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DDP Incoterms 2020</w:t>
            </w:r>
          </w:p>
        </w:tc>
      </w:tr>
      <w:tr>
        <w:tc>
          <w:tcPr/>
          <w:p>
            <w:pPr>
              <w:pStyle w:val="Compact"/>
              <w:jc w:val="left"/>
            </w:pPr>
            <w:r>
              <w:t xml:space="preserve">8</w:t>
            </w:r>
          </w:p>
        </w:tc>
        <w:tc>
          <w:tcPr/>
          <w:p>
            <w:pPr>
              <w:pStyle w:val="Compact"/>
              <w:jc w:val="left"/>
            </w:pPr>
            <w:r>
              <w:t xml:space="preserve">24-month extended warranty and priority spare-parts availability for all Actor components</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Excludes consumable gaskets</w:t>
            </w:r>
          </w:p>
        </w:tc>
      </w:tr>
      <w:tr>
        <w:tc>
          <w:tcPr>
            <w:gridSpan w:val="4"/>
          </w:tcPr>
          <w:p>
            <w:pPr>
              <w:pStyle w:val="Compact"/>
              <w:jc w:val="right"/>
            </w:pPr>
            <w:r>
              <w:t xml:space="preserve">Subtotal (AED)</w:t>
            </w:r>
          </w:p>
        </w:tc>
        <w:tc>
          <w:tcPr/>
          <w:p>
            <w:pPr>
              <w:pStyle w:val="Compact"/>
              <w:jc w:val="left"/>
            </w:pPr>
            <w:r>
              <w:t xml:space="preserve">451,780.00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22,589.00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474,369.00</w:t>
            </w:r>
          </w:p>
        </w:tc>
        <w:tc>
          <w:tcPr/>
          <w:p>
            <w:pPr>
              <w:pStyle w:val="Compact"/>
            </w:pPr>
          </w:p>
        </w:tc>
      </w:tr>
    </w:tbl>
    <w:p>
      <w:pPr>
        <w:pStyle w:val="BodyText"/>
      </w:pPr>
      <w:r>
        <w:t xml:space="preserve">3. Technical Specifications of the Actor Units</w:t>
      </w:r>
    </w:p>
    <w:p>
      <w:pPr>
        <w:pStyle w:val="BodyText"/>
      </w:pPr>
      <w:r>
        <w:t xml:space="preserve">Each</w:t>
      </w:r>
      <w:r>
        <w:t xml:space="preserve"> </w:t>
      </w:r>
      <w:r>
        <w:t xml:space="preserve">Actor</w:t>
      </w:r>
      <w:r>
        <w:t xml:space="preserve"> </w:t>
      </w:r>
      <w:r>
        <w:t xml:space="preserve">unit specified in this</w:t>
      </w:r>
      <w:r>
        <w:t xml:space="preserve"> </w:t>
      </w:r>
      <w:r>
        <w:t xml:space="preserve">Quotation Estimate</w:t>
      </w:r>
      <w:r>
        <w:t xml:space="preserve"> </w:t>
      </w:r>
      <w:r>
        <w:t xml:space="preserve">shall be an electro-pneumatic actuator with the following minimum performance characteristics: stroke length of 120 mm, maximum thrust of 15 kN, response time not exceeding 3 seconds from full-open to full-closed position, and a mean time between failures (MTBF) of no less than 100,000 operating hours. The</w:t>
      </w:r>
      <w:r>
        <w:t xml:space="preserve"> </w:t>
      </w:r>
      <w:r>
        <w:t xml:space="preserve">Actor</w:t>
      </w:r>
      <w:r>
        <w:t xml:space="preserve"> </w:t>
      </w:r>
      <w:r>
        <w:t xml:space="preserve">housing shall be fabricated from marine-grade aluminium alloy with a powder-coated finish suitable for the high-humidity and saline-air conditions prevalent in</w:t>
      </w:r>
      <w:r>
        <w:t xml:space="preserve"> </w:t>
      </w:r>
      <w:r>
        <w:t xml:space="preserve">United Arab Emirates Dubai</w:t>
      </w:r>
      <w:r>
        <w:t xml:space="preserve">. All electrical connections shall be rated IP67 to protect against dust ingress and water jets, ensuring reliable operation in the outdoor process areas of the Jebel Ali facility.</w:t>
      </w:r>
    </w:p>
    <w:p>
      <w:pPr>
        <w:pStyle w:val="BodyText"/>
      </w:pPr>
      <w:r>
        <w:t xml:space="preserve">The control interface for each</w:t>
      </w:r>
      <w:r>
        <w:t xml:space="preserve"> </w:t>
      </w:r>
      <w:r>
        <w:t xml:space="preserve">Actor</w:t>
      </w:r>
      <w:r>
        <w:t xml:space="preserve"> </w:t>
      </w:r>
      <w:r>
        <w:t xml:space="preserve">shall support Modbus RTU and Profibus DP communication protocols, enabling seamless integration with the client’s existing Distributed Control System (DCS). Position feedback shall be provided via a 4–20 mA analogue signal with a resolution of 0.1% of full stroke. Each</w:t>
      </w:r>
      <w:r>
        <w:t xml:space="preserve"> </w:t>
      </w:r>
      <w:r>
        <w:t xml:space="preserve">Actor</w:t>
      </w:r>
      <w:r>
        <w:t xml:space="preserve"> </w:t>
      </w:r>
      <w:r>
        <w:t xml:space="preserve">shall also incorporate a built-in limit switch set for hard end-of-travel protection and a manual override mechanism compliant with the Dubai Municipality’s industrial safety bylaws.</w:t>
      </w:r>
    </w:p>
    <w:p>
      <w:pPr>
        <w:pStyle w:val="BodyText"/>
      </w:pPr>
      <w:r>
        <w:t xml:space="preserve">4. Delivery Schedule and Project Milestones</w:t>
      </w:r>
    </w:p>
    <w:p>
      <w:pPr>
        <w:pStyle w:val="BodyText"/>
      </w:pPr>
      <w:r>
        <w:t xml:space="preserve">Upon receipt of a signed purchase order and the agreed advance payment, the supplier shall deliver all</w:t>
      </w:r>
      <w:r>
        <w:t xml:space="preserve"> </w:t>
      </w:r>
      <w:r>
        <w:t xml:space="preserve">Actor</w:t>
      </w:r>
      <w:r>
        <w:t xml:space="preserve"> </w:t>
      </w:r>
      <w:r>
        <w:t xml:space="preserve">hardware to the project site in</w:t>
      </w:r>
      <w:r>
        <w:t xml:space="preserve"> </w:t>
      </w:r>
      <w:r>
        <w:t xml:space="preserve">United Arab Emirates Dubai</w:t>
      </w:r>
      <w:r>
        <w:t xml:space="preserve"> </w:t>
      </w:r>
      <w:r>
        <w:t xml:space="preserve">within thirty (30) calendar days. Mechanical installation and pneumatic connection shall be completed within ten (10) working days of hardware delivery. Commissioning and functional safety testing of each</w:t>
      </w:r>
      <w:r>
        <w:t xml:space="preserve"> </w:t>
      </w:r>
      <w:r>
        <w:t xml:space="preserve">Actor</w:t>
      </w:r>
      <w:r>
        <w:t xml:space="preserve"> </w:t>
      </w:r>
      <w:r>
        <w:t xml:space="preserve">shall follow within five (5) working days thereafter. The operator training session and handover of the complete as-built documentation package shall be conducted within the final three (3) working days of the project. The total estimated project duration from order confirmation to final acceptance is fifty (50) calendar days.</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sixty (60) calendar days from the date of issue. Prices are quoted in United Arab Emirates Dirhams (AED) and are inclusive of all applicable duties and taxes unless otherwise stated.</w:t>
      </w:r>
    </w:p>
    <w:p>
      <w:pPr>
        <w:numPr>
          <w:ilvl w:val="0"/>
          <w:numId w:val="1001"/>
        </w:numPr>
        <w:pStyle w:val="Compact"/>
      </w:pPr>
      <w:r>
        <w:t xml:space="preserve">Payment terms: 30% advance upon order confirmation, 50% upon delivery of all</w:t>
      </w:r>
      <w:r>
        <w:t xml:space="preserve"> </w:t>
      </w:r>
      <w:r>
        <w:t xml:space="preserve">Actor</w:t>
      </w:r>
      <w:r>
        <w:t xml:space="preserve"> </w:t>
      </w:r>
      <w:r>
        <w:t xml:space="preserve">units to the</w:t>
      </w:r>
      <w:r>
        <w:t xml:space="preserve"> </w:t>
      </w:r>
      <w:r>
        <w:t xml:space="preserve">United Arab Emirates Dubai</w:t>
      </w:r>
      <w:r>
        <w:t xml:space="preserve"> </w:t>
      </w:r>
      <w:r>
        <w:t xml:space="preserve">site, and 20% upon successful commissioning and client sign-off.</w:t>
      </w:r>
    </w:p>
    <w:p>
      <w:pPr>
        <w:numPr>
          <w:ilvl w:val="0"/>
          <w:numId w:val="1001"/>
        </w:numPr>
        <w:pStyle w:val="Compact"/>
      </w:pPr>
      <w:r>
        <w:t xml:space="preserve">All</w:t>
      </w:r>
      <w:r>
        <w:t xml:space="preserve"> </w:t>
      </w:r>
      <w:r>
        <w:t xml:space="preserve">Actor</w:t>
      </w:r>
      <w:r>
        <w:t xml:space="preserve"> </w:t>
      </w:r>
      <w:r>
        <w:t xml:space="preserve">units are covered by a standard 12-month manufacturer’s warranty from the date of commissioning. The extended 24-month warranty (Line Item 8) is optional and priced separately in this</w:t>
      </w:r>
      <w:r>
        <w:t xml:space="preserve"> </w:t>
      </w:r>
      <w:r>
        <w:t xml:space="preserve">Quotation Estimate</w:t>
      </w:r>
      <w:r>
        <w:t xml:space="preserve">.</w:t>
      </w:r>
    </w:p>
    <w:p>
      <w:pPr>
        <w:numPr>
          <w:ilvl w:val="0"/>
          <w:numId w:val="1001"/>
        </w:numPr>
        <w:pStyle w:val="Compact"/>
      </w:pPr>
      <w:r>
        <w:t xml:space="preserve">The supplier shall obtain all necessary permits, no-objection certificates, and safety approvals from the Dubai Municipality, DEWA, and the relevant free-zone authority prior to commencing any installation work in</w:t>
      </w:r>
      <w:r>
        <w:t xml:space="preserve"> </w:t>
      </w:r>
      <w:r>
        <w:t xml:space="preserve">United Arab Emirates Dubai</w:t>
      </w:r>
      <w:r>
        <w:t xml:space="preserve">.</w:t>
      </w:r>
    </w:p>
    <w:p>
      <w:pPr>
        <w:numPr>
          <w:ilvl w:val="0"/>
          <w:numId w:val="1001"/>
        </w:numPr>
        <w:pStyle w:val="Compact"/>
      </w:pPr>
      <w:r>
        <w:t xml:space="preserve">Any variation in scope, quantity, or technical specification of the</w:t>
      </w:r>
      <w:r>
        <w:t xml:space="preserve"> </w:t>
      </w:r>
      <w:r>
        <w:t xml:space="preserve">Actor</w:t>
      </w:r>
      <w:r>
        <w:t xml:space="preserve"> </w:t>
      </w:r>
      <w:r>
        <w:t xml:space="preserve">units beyond 10% of the quantities stated herein shall require a formal amendment to this</w:t>
      </w:r>
      <w:r>
        <w:t xml:space="preserve"> </w:t>
      </w:r>
      <w:r>
        <w:t xml:space="preserve">Quotation Estimate</w:t>
      </w:r>
      <w:r>
        <w:t xml:space="preserve"> </w:t>
      </w:r>
      <w:r>
        <w:t xml:space="preserve">and mutual written agreement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governed by the laws of the United Arab Emirates and shall be subject to the exclusive jurisdiction of the courts of Dubai, United Arab Emirates.</w:t>
      </w:r>
    </w:p>
    <w:p>
      <w:pPr>
        <w:numPr>
          <w:ilvl w:val="0"/>
          <w:numId w:val="1001"/>
        </w:numPr>
        <w:pStyle w:val="Compact"/>
      </w:pPr>
      <w:r>
        <w:t xml:space="preserve">The supplier shall maintain comprehensive public liability and professional indemnity insurance with a minimum cover of AED 10,000,000 for the duration of the project in</w:t>
      </w:r>
      <w:r>
        <w:t xml:space="preserve"> </w:t>
      </w:r>
      <w:r>
        <w:t xml:space="preserve">United Arab Emirates Dubai</w:t>
      </w:r>
      <w:r>
        <w:t xml:space="preserve">.</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confirms that the pricing, technical specifications, and terms outlined herein for the</w:t>
      </w:r>
      <w:r>
        <w:t xml:space="preserve"> </w:t>
      </w:r>
      <w:r>
        <w:t xml:space="preserve">Actor</w:t>
      </w:r>
      <w:r>
        <w:t xml:space="preserve"> </w:t>
      </w:r>
      <w:r>
        <w:t xml:space="preserve">supply and installation project in</w:t>
      </w:r>
      <w:r>
        <w:t xml:space="preserve"> </w:t>
      </w:r>
      <w:r>
        <w:t xml:space="preserve">United Arab Emirates Dubai</w:t>
      </w:r>
      <w:r>
        <w:t xml:space="preserve"> </w:t>
      </w:r>
      <w:r>
        <w:t xml:space="preserve">are acceptable. This signature does not constitute a binding purchase order until a formal Purchase Order is issued by the client referencing Quotation Estimate No. QTE-DXB-2025-04782.</w:t>
      </w:r>
    </w:p>
    <w:p>
      <w:pPr>
        <w:pStyle w:val="BodyText"/>
      </w:pPr>
      <w:r>
        <w:rPr>
          <w:bCs/>
          <w:b/>
        </w:rPr>
        <w:t xml:space="preserve">For and on behalf of the Supplier:</w:t>
      </w:r>
    </w:p>
    <w:p>
      <w:pPr>
        <w:pStyle w:val="BodyText"/>
      </w:pPr>
      <w:r>
        <w:t xml:space="preserve">Gulf Precision Automation LLC</w:t>
      </w:r>
    </w:p>
    <w:p>
      <w:pPr>
        <w:pStyle w:val="BodyText"/>
      </w:pPr>
      <w:r>
        <w:t xml:space="preserve">Name: Ahmed Al Rashidi</w:t>
      </w:r>
      <w:r>
        <w:br/>
      </w:r>
      <w:r>
        <w:t xml:space="preserve">Title: Commercial Director</w:t>
      </w:r>
      <w:r>
        <w:br/>
      </w:r>
      <w:r>
        <w:t xml:space="preserve">Date: ____________________</w:t>
      </w:r>
    </w:p>
    <w:p>
      <w:pPr>
        <w:pStyle w:val="BodyText"/>
      </w:pPr>
      <w:r>
        <w:rPr>
          <w:bCs/>
          <w:b/>
        </w:rPr>
        <w:t xml:space="preserve">For and on behalf of the Client:</w:t>
      </w:r>
    </w:p>
    <w:p>
      <w:pPr>
        <w:pStyle w:val="BodyText"/>
      </w:pPr>
      <w:r>
        <w:t xml:space="preserve">Emirates Infrastructure Development Co.</w:t>
      </w:r>
    </w:p>
    <w:p>
      <w:pPr>
        <w:pStyle w:val="BodyText"/>
      </w:pPr>
      <w:r>
        <w:t xml:space="preserve">Name: Eng. Khalid Al Mansouri</w:t>
      </w:r>
      <w:r>
        <w:br/>
      </w:r>
      <w:r>
        <w:t xml:space="preserve">Title: Project Manager</w:t>
      </w:r>
      <w:r>
        <w:br/>
      </w:r>
      <w:r>
        <w:t xml:space="preserve">Date: ____________________</w:t>
      </w:r>
    </w:p>
    <w:p>
      <w:pPr>
        <w:pStyle w:val="BodyText"/>
      </w:pPr>
      <w:r>
        <w:t xml:space="preserve">Quotation Estimate No. QTE-DXB-2025-04782 — Actor Supply &amp; Installation — United Arab Emirates Dubai</w:t>
      </w:r>
      <w:r>
        <w:br/>
      </w:r>
      <w:r>
        <w:t xml:space="preserve">Gulf Precision Automation LLC • Sheikh Zayed Road, Dubai, UAE • +971 4 555 0192 • quotes@gulfprecision.ae</w:t>
      </w:r>
      <w:r>
        <w:br/>
      </w:r>
      <w:r>
        <w:t xml:space="preserve">This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Supply &amp; Installation - United Arab Emirates Dubai</dc:title>
  <dc:creator/>
  <dc:language>en</dc:language>
  <cp:keywords/>
  <dcterms:created xsi:type="dcterms:W3CDTF">2026-10-10T03:39:50Z</dcterms:created>
  <dcterms:modified xsi:type="dcterms:W3CDTF">2026-10-10T03:39:50Z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