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Actor Services — Vietnam Ho Chi Minh City</w:t>
      </w:r>
    </w:p>
    <w:p>
      <w:pPr>
        <w:pStyle w:val="BodyText"/>
      </w:pPr>
      <w:r>
        <w:t xml:space="preserve">Document Reference: QTE-HCM-2025-0472  |  Validity: 30 Days from Issue Date</w:t>
      </w:r>
    </w:p>
    <w:bookmarkEnd w:id="20"/>
    <w:p>
      <w:pPr>
        <w:pStyle w:val="BodyText"/>
      </w:pPr>
      <w:r>
        <w:rPr>
          <w:bCs/>
          <w:b/>
        </w:rPr>
        <w:t xml:space="preserve">Prepared By:</w:t>
      </w:r>
      <w:r>
        <w:t xml:space="preserve"> </w:t>
      </w:r>
      <w:r>
        <w:t xml:space="preserve">StarCast Vietnam Entertainment Co., Ltd.</w:t>
      </w:r>
      <w:r>
        <w:br/>
      </w:r>
      <w:r>
        <w:t xml:space="preserve">128 Le Duan Street, District 3, Ho Chi Minh City, Vietnam</w:t>
      </w:r>
      <w:r>
        <w:br/>
      </w:r>
      <w:r>
        <w:t xml:space="preserve">Tel: +84 28 3822 4567  |  Email: quotes@starcastvn.com</w:t>
      </w:r>
    </w:p>
    <w:p>
      <w:pPr>
        <w:pStyle w:val="BodyText"/>
      </w:pPr>
      <w:r>
        <w:rPr>
          <w:bCs/>
          <w:b/>
        </w:rPr>
        <w:t xml:space="preserve">Prepared For:</w:t>
      </w:r>
      <w:r>
        <w:t xml:space="preserve"> </w:t>
      </w:r>
      <w:r>
        <w:t xml:space="preserve">Golden Lotus Productions JSC</w:t>
      </w:r>
      <w:r>
        <w:br/>
      </w:r>
      <w:r>
        <w:t xml:space="preserve">45 Nguyen Hue Boulevard, District 1, Ho Chi Minh City, Vietnam</w:t>
      </w:r>
      <w:r>
        <w:br/>
      </w:r>
      <w:r>
        <w:t xml:space="preserve">Contact: Mr. Tran Van Minh — Production Director</w:t>
      </w:r>
    </w:p>
    <w:bookmarkStart w:id="21" w:name="purpose-of-this-quotation-estimate"/>
    <w:p>
      <w:pPr>
        <w:pStyle w:val="Heading2"/>
      </w:pPr>
      <w:r>
        <w:t xml:space="preserve">1. Purpose of This Quotation Estimate</w:t>
      </w:r>
    </w:p>
    <w:p>
      <w:pPr>
        <w:pStyle w:val="FirstParagraph"/>
      </w:pPr>
      <w:r>
        <w:t xml:space="preserve">This Quotation Estimate is issued by StarCast Vietnam Entertainment Co., Ltd. to provide a comprehensive and transparent cost breakdown for the engagement of a professional</w:t>
      </w:r>
      <w:r>
        <w:t xml:space="preserve"> </w:t>
      </w:r>
      <w:r>
        <w:rPr>
          <w:bCs/>
          <w:b/>
        </w:rPr>
        <w:t xml:space="preserve">Actor</w:t>
      </w:r>
      <w:r>
        <w:t xml:space="preserve"> </w:t>
      </w:r>
      <w:r>
        <w:t xml:space="preserve">for a commercial film production scheduled to take place in</w:t>
      </w:r>
      <w:r>
        <w:t xml:space="preserve"> </w:t>
      </w:r>
      <w:r>
        <w:rPr>
          <w:bCs/>
          <w:b/>
        </w:rPr>
        <w:t xml:space="preserve">Vietnam Ho Chi Minh City</w:t>
      </w:r>
      <w:r>
        <w:t xml:space="preserve">. The purpose of this document is to outline all applicable fees, terms, conditions, and logistical considerations associated with the Actor's participation in the project. This Quotation Estimate serves as a formal proposal and does not constitute a binding contract until both parties have executed the final service agreement.</w:t>
      </w:r>
    </w:p>
    <w:bookmarkEnd w:id="21"/>
    <w:bookmarkStart w:id="22" w:name="project-overview"/>
    <w:p>
      <w:pPr>
        <w:pStyle w:val="Heading2"/>
      </w:pPr>
      <w:r>
        <w:t xml:space="preserve">2. Project Overview</w:t>
      </w:r>
    </w:p>
    <w:p>
      <w:pPr>
        <w:pStyle w:val="FirstParagraph"/>
      </w:pPr>
      <w:r>
        <w:t xml:space="preserve">The production in question is a 90-second international brand commercial to be filmed across multiple locations within</w:t>
      </w:r>
      <w:r>
        <w:t xml:space="preserve"> </w:t>
      </w:r>
      <w:r>
        <w:rPr>
          <w:bCs/>
          <w:b/>
        </w:rPr>
        <w:t xml:space="preserve">Vietnam Ho Chi Minh City</w:t>
      </w:r>
      <w:r>
        <w:t xml:space="preserve">, including the iconic Nguyen Hue Walking Street, the historic District 3 architecture, and a private studio facility in Binh Thanh District. The</w:t>
      </w:r>
      <w:r>
        <w:t xml:space="preserve"> </w:t>
      </w:r>
      <w:r>
        <w:rPr>
          <w:bCs/>
          <w:b/>
        </w:rPr>
        <w:t xml:space="preserve">Actor</w:t>
      </w:r>
      <w:r>
        <w:t xml:space="preserve"> </w:t>
      </w:r>
      <w:r>
        <w:t xml:space="preserve">will be required to perform in both English and Vietnamese, portraying a lead role that demands emotional range, physical stamina, and the ability to work under tight scheduling constraints typical of commercial shoots in the Ho Chi Minh City metropolitan area.</w:t>
      </w:r>
    </w:p>
    <w:bookmarkEnd w:id="22"/>
    <w:bookmarkStart w:id="23" w:name="scope-of-services-actor-engagement"/>
    <w:p>
      <w:pPr>
        <w:pStyle w:val="Heading2"/>
      </w:pPr>
      <w:r>
        <w:t xml:space="preserve">3. Scope of Services — Actor Engagement</w:t>
      </w:r>
    </w:p>
    <w:p>
      <w:pPr>
        <w:pStyle w:val="FirstParagraph"/>
      </w:pPr>
      <w:r>
        <w:t xml:space="preserve">The following scope defines the deliverables and responsibilities of the</w:t>
      </w:r>
      <w:r>
        <w:t xml:space="preserve"> </w:t>
      </w:r>
      <w:r>
        <w:rPr>
          <w:bCs/>
          <w:b/>
        </w:rPr>
        <w:t xml:space="preserve">Actor</w:t>
      </w:r>
      <w:r>
        <w:t xml:space="preserve"> </w:t>
      </w:r>
      <w:r>
        <w:t xml:space="preserve">as part of this Quotation Estimate:</w:t>
      </w:r>
    </w:p>
    <w:p>
      <w:pPr>
        <w:numPr>
          <w:ilvl w:val="0"/>
          <w:numId w:val="1001"/>
        </w:numPr>
        <w:pStyle w:val="Compact"/>
      </w:pPr>
      <w:r>
        <w:t xml:space="preserve">On-set performance for a total of</w:t>
      </w:r>
      <w:r>
        <w:t xml:space="preserve"> </w:t>
      </w:r>
      <w:r>
        <w:rPr>
          <w:bCs/>
          <w:b/>
        </w:rPr>
        <w:t xml:space="preserve">5 shooting days</w:t>
      </w:r>
      <w:r>
        <w:t xml:space="preserve"> </w:t>
      </w:r>
      <w:r>
        <w:t xml:space="preserve">(12-hour working days, including breaks) in Ho Chi Minh City.</w:t>
      </w:r>
    </w:p>
    <w:p>
      <w:pPr>
        <w:numPr>
          <w:ilvl w:val="0"/>
          <w:numId w:val="1001"/>
        </w:numPr>
        <w:pStyle w:val="Compact"/>
      </w:pPr>
      <w:r>
        <w:t xml:space="preserve">Two (2) days of pre-production rehearsal and script preparation at the production studio in District 3.</w:t>
      </w:r>
    </w:p>
    <w:p>
      <w:pPr>
        <w:numPr>
          <w:ilvl w:val="0"/>
          <w:numId w:val="1001"/>
        </w:numPr>
        <w:pStyle w:val="Compact"/>
      </w:pPr>
      <w:r>
        <w:t xml:space="preserve">One (1) day of post-production voice-over recording in Vietnamese and English at a certified studio in District 1.</w:t>
      </w:r>
    </w:p>
    <w:p>
      <w:pPr>
        <w:numPr>
          <w:ilvl w:val="0"/>
          <w:numId w:val="1001"/>
        </w:numPr>
        <w:pStyle w:val="Compact"/>
      </w:pPr>
      <w:r>
        <w:t xml:space="preserve">Availability for up to three (3) additional call-back days should the director require reshoots or alternate takes.</w:t>
      </w:r>
    </w:p>
    <w:p>
      <w:pPr>
        <w:numPr>
          <w:ilvl w:val="0"/>
          <w:numId w:val="1001"/>
        </w:numPr>
        <w:pStyle w:val="Compact"/>
      </w:pPr>
      <w:r>
        <w:t xml:space="preserve">Compliance with all local filming permits and regulations issued by the Ho Chi Minh City People's Committee and the Vietnam Film Industry Association.</w:t>
      </w:r>
    </w:p>
    <w:p>
      <w:pPr>
        <w:numPr>
          <w:ilvl w:val="0"/>
          <w:numId w:val="1001"/>
        </w:numPr>
        <w:pStyle w:val="Compact"/>
      </w:pPr>
      <w:r>
        <w:t xml:space="preserve">Wardrobe consultation and fitting sessions (up to 4 sessions) coordinated by the production's costume department.</w:t>
      </w:r>
    </w:p>
    <w:bookmarkEnd w:id="23"/>
    <w:bookmarkStart w:id="24" w:name="detailed-cost-breakdown"/>
    <w:p>
      <w:pPr>
        <w:pStyle w:val="Heading2"/>
      </w:pPr>
      <w:r>
        <w:t xml:space="preserve">4.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(VND)</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Actor daily performance fee (lead role, bilingual)</w:t>
            </w:r>
          </w:p>
        </w:tc>
        <w:tc>
          <w:tcPr/>
          <w:p>
            <w:pPr>
              <w:pStyle w:val="Compact"/>
              <w:jc w:val="left"/>
            </w:pPr>
            <w:r>
              <w:t xml:space="preserve">5 days</w:t>
            </w:r>
          </w:p>
        </w:tc>
        <w:tc>
          <w:tcPr/>
          <w:p>
            <w:pPr>
              <w:pStyle w:val="Compact"/>
              <w:jc w:val="left"/>
            </w:pPr>
            <w:r>
              <w:t xml:space="preserve">45,000,000</w:t>
            </w:r>
          </w:p>
        </w:tc>
        <w:tc>
          <w:tcPr/>
          <w:p>
            <w:pPr>
              <w:pStyle w:val="Compact"/>
              <w:jc w:val="left"/>
            </w:pPr>
            <w:r>
              <w:t xml:space="preserve">225,000,000</w:t>
            </w:r>
          </w:p>
        </w:tc>
      </w:tr>
      <w:tr>
        <w:tc>
          <w:tcPr/>
          <w:p>
            <w:pPr>
              <w:pStyle w:val="Compact"/>
              <w:jc w:val="left"/>
            </w:pPr>
            <w:r>
              <w:t xml:space="preserve">02</w:t>
            </w:r>
          </w:p>
        </w:tc>
        <w:tc>
          <w:tcPr/>
          <w:p>
            <w:pPr>
              <w:pStyle w:val="Compact"/>
              <w:jc w:val="left"/>
            </w:pPr>
            <w:r>
              <w:t xml:space="preserve">Pre-production rehearsal and script preparation</w:t>
            </w:r>
          </w:p>
        </w:tc>
        <w:tc>
          <w:tcPr/>
          <w:p>
            <w:pPr>
              <w:pStyle w:val="Compact"/>
              <w:jc w:val="left"/>
            </w:pPr>
            <w:r>
              <w:t xml:space="preserve">2 days</w:t>
            </w:r>
          </w:p>
        </w:tc>
        <w:tc>
          <w:tcPr/>
          <w:p>
            <w:pPr>
              <w:pStyle w:val="Compact"/>
              <w:jc w:val="left"/>
            </w:pPr>
            <w:r>
              <w:t xml:space="preserve">25,000,000</w:t>
            </w:r>
          </w:p>
        </w:tc>
        <w:tc>
          <w:tcPr/>
          <w:p>
            <w:pPr>
              <w:pStyle w:val="Compact"/>
              <w:jc w:val="left"/>
            </w:pPr>
            <w:r>
              <w:t xml:space="preserve">50,000,000</w:t>
            </w:r>
          </w:p>
        </w:tc>
      </w:tr>
      <w:tr>
        <w:tc>
          <w:tcPr/>
          <w:p>
            <w:pPr>
              <w:pStyle w:val="Compact"/>
              <w:jc w:val="left"/>
            </w:pPr>
            <w:r>
              <w:t xml:space="preserve">03</w:t>
            </w:r>
          </w:p>
        </w:tc>
        <w:tc>
          <w:tcPr/>
          <w:p>
            <w:pPr>
              <w:pStyle w:val="Compact"/>
              <w:jc w:val="left"/>
            </w:pPr>
            <w:r>
              <w:t xml:space="preserve">Post-production voice-over recording (VN/EN)</w:t>
            </w:r>
          </w:p>
        </w:tc>
        <w:tc>
          <w:tcPr/>
          <w:p>
            <w:pPr>
              <w:pStyle w:val="Compact"/>
              <w:jc w:val="left"/>
            </w:pPr>
            <w:r>
              <w:t xml:space="preserve">1 day</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Call-back / reshoot days (contingency)</w:t>
            </w:r>
          </w:p>
        </w:tc>
        <w:tc>
          <w:tcPr/>
          <w:p>
            <w:pPr>
              <w:pStyle w:val="Compact"/>
              <w:jc w:val="left"/>
            </w:pPr>
            <w:r>
              <w:t xml:space="preserve">3 days</w:t>
            </w:r>
          </w:p>
        </w:tc>
        <w:tc>
          <w:tcPr/>
          <w:p>
            <w:pPr>
              <w:pStyle w:val="Compact"/>
              <w:jc w:val="left"/>
            </w:pPr>
            <w:r>
              <w:t xml:space="preserve">30,000,000</w:t>
            </w:r>
          </w:p>
        </w:tc>
        <w:tc>
          <w:tcPr/>
          <w:p>
            <w:pPr>
              <w:pStyle w:val="Compact"/>
              <w:jc w:val="left"/>
            </w:pPr>
            <w:r>
              <w:t xml:space="preserve">90,000,000</w:t>
            </w:r>
          </w:p>
        </w:tc>
      </w:tr>
      <w:tr>
        <w:tc>
          <w:tcPr/>
          <w:p>
            <w:pPr>
              <w:pStyle w:val="Compact"/>
              <w:jc w:val="left"/>
            </w:pPr>
            <w:r>
              <w:t xml:space="preserve">05</w:t>
            </w:r>
          </w:p>
        </w:tc>
        <w:tc>
          <w:tcPr/>
          <w:p>
            <w:pPr>
              <w:pStyle w:val="Compact"/>
              <w:jc w:val="left"/>
            </w:pPr>
            <w:r>
              <w:t xml:space="preserve">Wardrobe fitting and consultation sessions</w:t>
            </w:r>
          </w:p>
        </w:tc>
        <w:tc>
          <w:tcPr/>
          <w:p>
            <w:pPr>
              <w:pStyle w:val="Compact"/>
              <w:jc w:val="left"/>
            </w:pPr>
            <w:r>
              <w:t xml:space="preserve">4 sessions</w:t>
            </w:r>
          </w:p>
        </w:tc>
        <w:tc>
          <w:tcPr/>
          <w:p>
            <w:pPr>
              <w:pStyle w:val="Compact"/>
              <w:jc w:val="left"/>
            </w:pPr>
            <w:r>
              <w:t xml:space="preserve">5,000,000</w:t>
            </w:r>
          </w:p>
        </w:tc>
        <w:tc>
          <w:tcPr/>
          <w:p>
            <w:pPr>
              <w:pStyle w:val="Compact"/>
              <w:jc w:val="left"/>
            </w:pPr>
            <w:r>
              <w:t xml:space="preserve">20,000,000</w:t>
            </w:r>
          </w:p>
        </w:tc>
      </w:tr>
      <w:tr>
        <w:tc>
          <w:tcPr/>
          <w:p>
            <w:pPr>
              <w:pStyle w:val="Compact"/>
              <w:jc w:val="left"/>
            </w:pPr>
            <w:r>
              <w:t xml:space="preserve">06</w:t>
            </w:r>
          </w:p>
        </w:tc>
        <w:tc>
          <w:tcPr/>
          <w:p>
            <w:pPr>
              <w:pStyle w:val="Compact"/>
              <w:jc w:val="left"/>
            </w:pPr>
            <w:r>
              <w:t xml:space="preserve">Local transportation within Ho Chi Minh City (vehicle &amp; driver)</w:t>
            </w:r>
          </w:p>
        </w:tc>
        <w:tc>
          <w:tcPr/>
          <w:p>
            <w:pPr>
              <w:pStyle w:val="Compact"/>
              <w:jc w:val="left"/>
            </w:pPr>
            <w:r>
              <w:t xml:space="preserve">9 days</w:t>
            </w:r>
          </w:p>
        </w:tc>
        <w:tc>
          <w:tcPr/>
          <w:p>
            <w:pPr>
              <w:pStyle w:val="Compact"/>
              <w:jc w:val="left"/>
            </w:pPr>
            <w:r>
              <w:t xml:space="preserve">4,500,000</w:t>
            </w:r>
          </w:p>
        </w:tc>
        <w:tc>
          <w:tcPr/>
          <w:p>
            <w:pPr>
              <w:pStyle w:val="Compact"/>
              <w:jc w:val="left"/>
            </w:pPr>
            <w:r>
              <w:t xml:space="preserve">40,500,000</w:t>
            </w:r>
          </w:p>
        </w:tc>
      </w:tr>
      <w:tr>
        <w:tc>
          <w:tcPr/>
          <w:p>
            <w:pPr>
              <w:pStyle w:val="Compact"/>
              <w:jc w:val="left"/>
            </w:pPr>
            <w:r>
              <w:t xml:space="preserve">07</w:t>
            </w:r>
          </w:p>
        </w:tc>
        <w:tc>
          <w:tcPr/>
          <w:p>
            <w:pPr>
              <w:pStyle w:val="Compact"/>
              <w:jc w:val="left"/>
            </w:pPr>
            <w:r>
              <w:t xml:space="preserve">Accommodation (4-star hotel, District 1, single room)</w:t>
            </w:r>
          </w:p>
        </w:tc>
        <w:tc>
          <w:tcPr/>
          <w:p>
            <w:pPr>
              <w:pStyle w:val="Compact"/>
              <w:jc w:val="left"/>
            </w:pPr>
            <w:r>
              <w:t xml:space="preserve">9 nights</w:t>
            </w:r>
          </w:p>
        </w:tc>
        <w:tc>
          <w:tcPr/>
          <w:p>
            <w:pPr>
              <w:pStyle w:val="Compact"/>
              <w:jc w:val="left"/>
            </w:pPr>
            <w:r>
              <w:t xml:space="preserve">3,200,000</w:t>
            </w:r>
          </w:p>
        </w:tc>
        <w:tc>
          <w:tcPr/>
          <w:p>
            <w:pPr>
              <w:pStyle w:val="Compact"/>
              <w:jc w:val="left"/>
            </w:pPr>
            <w:r>
              <w:t xml:space="preserve">28,800,000</w:t>
            </w:r>
          </w:p>
        </w:tc>
      </w:tr>
      <w:tr>
        <w:tc>
          <w:tcPr/>
          <w:p>
            <w:pPr>
              <w:pStyle w:val="Compact"/>
              <w:jc w:val="left"/>
            </w:pPr>
            <w:r>
              <w:t xml:space="preserve">08</w:t>
            </w:r>
          </w:p>
        </w:tc>
        <w:tc>
          <w:tcPr/>
          <w:p>
            <w:pPr>
              <w:pStyle w:val="Compact"/>
              <w:jc w:val="left"/>
            </w:pPr>
            <w:r>
              <w:t xml:space="preserve">Per diem and meal allowance (Ho Chi Minh City standard)</w:t>
            </w:r>
          </w:p>
        </w:tc>
        <w:tc>
          <w:tcPr/>
          <w:p>
            <w:pPr>
              <w:pStyle w:val="Compact"/>
              <w:jc w:val="left"/>
            </w:pPr>
            <w:r>
              <w:t xml:space="preserve">9 days</w:t>
            </w:r>
          </w:p>
        </w:tc>
        <w:tc>
          <w:tcPr/>
          <w:p>
            <w:pPr>
              <w:pStyle w:val="Compact"/>
              <w:jc w:val="left"/>
            </w:pPr>
            <w:r>
              <w:t xml:space="preserve">1,500,000</w:t>
            </w:r>
          </w:p>
        </w:tc>
        <w:tc>
          <w:tcPr/>
          <w:p>
            <w:pPr>
              <w:pStyle w:val="Compact"/>
              <w:jc w:val="left"/>
            </w:pPr>
            <w:r>
              <w:t xml:space="preserve">13,500,000</w:t>
            </w:r>
          </w:p>
        </w:tc>
      </w:tr>
      <w:tr>
        <w:tc>
          <w:tcPr/>
          <w:p>
            <w:pPr>
              <w:pStyle w:val="Compact"/>
              <w:jc w:val="left"/>
            </w:pPr>
            <w:r>
              <w:t xml:space="preserve">09</w:t>
            </w:r>
          </w:p>
        </w:tc>
        <w:tc>
          <w:tcPr/>
          <w:p>
            <w:pPr>
              <w:pStyle w:val="Compact"/>
              <w:jc w:val="left"/>
            </w:pPr>
            <w:r>
              <w:t xml:space="preserve">Professional liability insurance (on-set, HCMC jurisdiction)</w:t>
            </w:r>
          </w:p>
        </w:tc>
        <w:tc>
          <w:tcPr/>
          <w:p>
            <w:pPr>
              <w:pStyle w:val="Compact"/>
              <w:jc w:val="left"/>
            </w:pPr>
            <w:r>
              <w:t xml:space="preserve">1 policy</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10</w:t>
            </w:r>
          </w:p>
        </w:tc>
        <w:tc>
          <w:tcPr/>
          <w:p>
            <w:pPr>
              <w:pStyle w:val="Compact"/>
              <w:jc w:val="left"/>
            </w:pPr>
            <w:r>
              <w:t xml:space="preserve">Administrative and licensing fees (filming permits, work visa support)</w:t>
            </w:r>
          </w:p>
        </w:tc>
        <w:tc>
          <w:tcPr/>
          <w:p>
            <w:pPr>
              <w:pStyle w:val="Compact"/>
              <w:jc w:val="left"/>
            </w:pPr>
            <w:r>
              <w:t xml:space="preserve">1 package</w:t>
            </w:r>
          </w:p>
        </w:tc>
        <w:tc>
          <w:tcPr/>
          <w:p>
            <w:pPr>
              <w:pStyle w:val="Compact"/>
              <w:jc w:val="left"/>
            </w:pPr>
            <w:r>
              <w:t xml:space="preserve">8,000,000</w:t>
            </w:r>
          </w:p>
        </w:tc>
        <w:tc>
          <w:tcPr/>
          <w:p>
            <w:pPr>
              <w:pStyle w:val="Compact"/>
              <w:jc w:val="left"/>
            </w:pPr>
            <w:r>
              <w:t xml:space="preserve">8,000,000</w:t>
            </w:r>
          </w:p>
        </w:tc>
      </w:tr>
      <w:tr>
        <w:tc>
          <w:tcPr>
            <w:gridSpan w:val="4"/>
          </w:tcPr>
          <w:p>
            <w:pPr>
              <w:pStyle w:val="Compact"/>
              <w:jc w:val="right"/>
            </w:pPr>
            <w:r>
              <w:t xml:space="preserve">Subtotal (VND)</w:t>
            </w:r>
          </w:p>
        </w:tc>
        <w:tc>
          <w:tcPr/>
          <w:p>
            <w:pPr>
              <w:pStyle w:val="Compact"/>
              <w:jc w:val="left"/>
            </w:pPr>
            <w:r>
              <w:t xml:space="preserve">505,800,000</w:t>
            </w:r>
          </w:p>
        </w:tc>
      </w:tr>
      <w:tr>
        <w:tc>
          <w:tcPr>
            <w:gridSpan w:val="4"/>
          </w:tcPr>
          <w:p>
            <w:pPr>
              <w:pStyle w:val="Compact"/>
              <w:jc w:val="right"/>
            </w:pPr>
            <w:r>
              <w:t xml:space="preserve">Value-Added Tax (VAT) — 10%</w:t>
            </w:r>
          </w:p>
        </w:tc>
        <w:tc>
          <w:tcPr/>
          <w:p>
            <w:pPr>
              <w:pStyle w:val="Compact"/>
              <w:jc w:val="left"/>
            </w:pPr>
            <w:r>
              <w:t xml:space="preserve">50,580,000</w:t>
            </w:r>
          </w:p>
        </w:tc>
      </w:tr>
      <w:tr>
        <w:tc>
          <w:tcPr>
            <w:gridSpan w:val="4"/>
          </w:tcPr>
          <w:p>
            <w:pPr>
              <w:pStyle w:val="Compact"/>
              <w:jc w:val="right"/>
            </w:pPr>
            <w:r>
              <w:t xml:space="preserve">TOTAL ESTIMATED COST (VND)</w:t>
            </w:r>
          </w:p>
        </w:tc>
        <w:tc>
          <w:tcPr/>
          <w:p>
            <w:pPr>
              <w:pStyle w:val="Compact"/>
              <w:jc w:val="left"/>
            </w:pPr>
            <w:r>
              <w:t xml:space="preserve">556,380,000</w:t>
            </w:r>
          </w:p>
        </w:tc>
      </w:tr>
      <w:tr>
        <w:tc>
          <w:tcPr>
            <w:gridSpan w:val="4"/>
          </w:tcPr>
          <w:p>
            <w:pPr>
              <w:pStyle w:val="Compact"/>
              <w:jc w:val="right"/>
            </w:pPr>
            <w:r>
              <w:t xml:space="preserve">TOTAL ESTIMATED COST (USD, approx. @ 25,500 VND/USD)</w:t>
            </w:r>
          </w:p>
        </w:tc>
        <w:tc>
          <w:tcPr/>
          <w:p>
            <w:pPr>
              <w:pStyle w:val="Compact"/>
              <w:jc w:val="left"/>
            </w:pPr>
            <w:r>
              <w:t xml:space="preserve">≈ 21,819 USD</w:t>
            </w:r>
          </w:p>
        </w:tc>
      </w:tr>
    </w:tbl>
    <w:bookmarkEnd w:id="24"/>
    <w:bookmarkStart w:id="25" w:name="payment-terms"/>
    <w:p>
      <w:pPr>
        <w:pStyle w:val="Heading2"/>
      </w:pPr>
      <w:r>
        <w:t xml:space="preserve">5. Payment Terms</w:t>
      </w:r>
    </w:p>
    <w:p>
      <w:pPr>
        <w:pStyle w:val="FirstParagraph"/>
      </w:pPr>
      <w:r>
        <w:t xml:space="preserve">As outlined in this Quotation Estimate, payment shall be structured as follows: a</w:t>
      </w:r>
      <w:r>
        <w:t xml:space="preserve"> </w:t>
      </w:r>
      <w:r>
        <w:rPr>
          <w:bCs/>
          <w:b/>
        </w:rPr>
        <w:t xml:space="preserve">40% advance payment</w:t>
      </w:r>
      <w:r>
        <w:t xml:space="preserve"> </w:t>
      </w:r>
      <w:r>
        <w:t xml:space="preserve">(VND 222,552,000) due within seven (7) business days of contract execution; a</w:t>
      </w:r>
      <w:r>
        <w:t xml:space="preserve"> </w:t>
      </w:r>
      <w:r>
        <w:rPr>
          <w:bCs/>
          <w:b/>
        </w:rPr>
        <w:t xml:space="preserve">40% progress payment</w:t>
      </w:r>
      <w:r>
        <w:t xml:space="preserve"> </w:t>
      </w:r>
      <w:r>
        <w:t xml:space="preserve">(VND 222,552,000) due upon completion of the principal photography phase in Ho Chi Minh City; and a</w:t>
      </w:r>
      <w:r>
        <w:t xml:space="preserve"> </w:t>
      </w:r>
      <w:r>
        <w:rPr>
          <w:bCs/>
          <w:b/>
        </w:rPr>
        <w:t xml:space="preserve">20% final payment</w:t>
      </w:r>
      <w:r>
        <w:t xml:space="preserve"> </w:t>
      </w:r>
      <w:r>
        <w:t xml:space="preserve">(VND 111,276,000) due within fourteen (14) days after delivery of all post-production assets. All payments shall be made via bank transfer to the account designated by StarCast Vietnam Entertainment Co., Ltd. in Ho Chi Minh City.</w:t>
      </w:r>
    </w:p>
    <w:bookmarkEnd w:id="25"/>
    <w:bookmarkStart w:id="26" w:name="terms-and-conditions"/>
    <w:p>
      <w:pPr>
        <w:pStyle w:val="Heading2"/>
      </w:pPr>
      <w:r>
        <w:t xml:space="preserve">6. Terms and Conditions</w:t>
      </w:r>
    </w:p>
    <w:p>
      <w:pPr>
        <w:pStyle w:val="FirstParagraph"/>
      </w:pPr>
      <w:r>
        <w:rPr>
          <w:bCs/>
          <w:b/>
        </w:rPr>
        <w:t xml:space="preserve">Important Notes Regarding This Quotation Estimate:</w:t>
      </w:r>
    </w:p>
    <w:p>
      <w:pPr>
        <w:numPr>
          <w:ilvl w:val="0"/>
          <w:numId w:val="1002"/>
        </w:numPr>
        <w:pStyle w:val="Compact"/>
      </w:pPr>
      <w:r>
        <w:t xml:space="preserve">This Quotation Estimate is valid for</w:t>
      </w:r>
      <w:r>
        <w:t xml:space="preserve"> </w:t>
      </w:r>
      <w:r>
        <w:rPr>
          <w:bCs/>
          <w:b/>
        </w:rPr>
        <w:t xml:space="preserve">thirty (30) calendar days</w:t>
      </w:r>
      <w:r>
        <w:t xml:space="preserve"> </w:t>
      </w:r>
      <w:r>
        <w:t xml:space="preserve">from the date of issue. After this period, all rates, particularly those related to accommodation and transportation in Vietnam Ho Chi Minh City, are subject to revision.</w:t>
      </w:r>
    </w:p>
    <w:p>
      <w:pPr>
        <w:numPr>
          <w:ilvl w:val="0"/>
          <w:numId w:val="1002"/>
        </w:numPr>
        <w:pStyle w:val="Compact"/>
      </w:pPr>
      <w:r>
        <w:t xml:space="preserve">The</w:t>
      </w:r>
      <w:r>
        <w:t xml:space="preserve"> </w:t>
      </w:r>
      <w:r>
        <w:rPr>
          <w:bCs/>
          <w:b/>
        </w:rPr>
        <w:t xml:space="preserve">Actor</w:t>
      </w:r>
      <w:r>
        <w:t xml:space="preserve"> </w:t>
      </w:r>
      <w:r>
        <w:t xml:space="preserve">must hold a valid work permit or short-term filming visa issued by the Vietnamese Ministry of Labour, Invalids and Social Affairs. The production company (Golden Lotus Productions JSC) is responsible for initiating the visa application process at least thirty (30) days prior to the scheduled start date.</w:t>
      </w:r>
    </w:p>
    <w:p>
      <w:pPr>
        <w:numPr>
          <w:ilvl w:val="0"/>
          <w:numId w:val="1002"/>
        </w:numPr>
        <w:pStyle w:val="Compact"/>
      </w:pPr>
      <w:r>
        <w:t xml:space="preserve">All filming activities within the boundaries of</w:t>
      </w:r>
      <w:r>
        <w:t xml:space="preserve"> </w:t>
      </w:r>
      <w:r>
        <w:rPr>
          <w:bCs/>
          <w:b/>
        </w:rPr>
        <w:t xml:space="preserve">Vietnam Ho Chi Minh City</w:t>
      </w:r>
      <w:r>
        <w:t xml:space="preserve"> </w:t>
      </w:r>
      <w:r>
        <w:t xml:space="preserve">must comply with Decree 101/2006/NĐ-CP and subsequent amendments governing foreign media and entertainment production in Vietnam.</w:t>
      </w:r>
    </w:p>
    <w:p>
      <w:pPr>
        <w:numPr>
          <w:ilvl w:val="0"/>
          <w:numId w:val="1002"/>
        </w:numPr>
        <w:pStyle w:val="Compact"/>
      </w:pPr>
      <w:r>
        <w:t xml:space="preserve">Weather-related delays (common during the Ho Chi Minh City monsoon season, May through November) exceeding two (2) consecutive days will be treated as force majeure, and the Quotation Estimate will be adjusted pro-rata for unused days.</w:t>
      </w:r>
    </w:p>
    <w:p>
      <w:pPr>
        <w:numPr>
          <w:ilvl w:val="0"/>
          <w:numId w:val="1002"/>
        </w:numPr>
        <w:pStyle w:val="Compact"/>
      </w:pPr>
      <w:r>
        <w:t xml:space="preserve">The Actor's likeness, voice, and performance shall be licensed for a period of</w:t>
      </w:r>
      <w:r>
        <w:t xml:space="preserve"> </w:t>
      </w:r>
      <w:r>
        <w:rPr>
          <w:bCs/>
          <w:b/>
        </w:rPr>
        <w:t xml:space="preserve">24 months</w:t>
      </w:r>
      <w:r>
        <w:t xml:space="preserve"> </w:t>
      </w:r>
      <w:r>
        <w:t xml:space="preserve">for use in all media channels, including digital, broadcast, and out-of-home advertising within Vietnam and Southeast Asia. Extended licensing will be quoted separately.</w:t>
      </w:r>
    </w:p>
    <w:p>
      <w:pPr>
        <w:numPr>
          <w:ilvl w:val="0"/>
          <w:numId w:val="1002"/>
        </w:numPr>
        <w:pStyle w:val="Compact"/>
      </w:pPr>
      <w:r>
        <w:t xml:space="preserve">Any changes to the shooting schedule, location, or scope of the Actor's role must be communicated in writing at least 72 hours in advance. Late changes may incur additional fees as specified in the final service agreement.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the terms set forth in this Quotation Estimate for the engagement of the Actor in Vietnam Ho Chi Minh City. This document, once countersigned, will serve as the basis for the execution of the definitive Service Agreement.</w:t>
      </w:r>
    </w:p>
    <w:p>
      <w:pPr>
        <w:pStyle w:val="BodyText"/>
      </w:pPr>
      <w:r>
        <w:rPr>
          <w:bCs/>
          <w:b/>
        </w:rPr>
        <w:t xml:space="preserve">For StarCast Vietnam Entertainment Co., Ltd.</w:t>
      </w:r>
      <w:r>
        <w:br/>
      </w:r>
      <w:r>
        <w:t xml:space="preserve">Name: Nguyen Thi Lan</w:t>
      </w:r>
      <w:r>
        <w:br/>
      </w:r>
      <w:r>
        <w:t xml:space="preserve">Title: Head of Talent Acquisition</w:t>
      </w:r>
      <w:r>
        <w:br/>
      </w:r>
      <w:r>
        <w:t xml:space="preserve">Date: ______________________</w:t>
      </w:r>
    </w:p>
    <w:p>
      <w:pPr>
        <w:pStyle w:val="BodyText"/>
      </w:pPr>
      <w:r>
        <w:rPr>
          <w:bCs/>
          <w:b/>
        </w:rPr>
        <w:t xml:space="preserve">For Golden Lotus Productions JSC</w:t>
      </w:r>
      <w:r>
        <w:br/>
      </w:r>
      <w:r>
        <w:t xml:space="preserve">Name: Tran Van Minh</w:t>
      </w:r>
      <w:r>
        <w:br/>
      </w:r>
      <w:r>
        <w:t xml:space="preserve">Title: Production Director</w:t>
      </w:r>
      <w:r>
        <w:br/>
      </w:r>
      <w:r>
        <w:t xml:space="preserve">Date: ______________________</w:t>
      </w:r>
    </w:p>
    <w:p>
      <w:pPr>
        <w:pStyle w:val="BodyText"/>
      </w:pPr>
      <w:r>
        <w:rPr>
          <w:bCs/>
          <w:b/>
        </w:rPr>
        <w:t xml:space="preserve">StarCast Vietnam Entertainment Co., Ltd.</w:t>
      </w:r>
      <w:r>
        <w:t xml:space="preserve"> </w:t>
      </w:r>
      <w:r>
        <w:t xml:space="preserve">— Registered Business Code: 0312345678 — Ho Chi Minh City, Vietnam</w:t>
      </w:r>
      <w:r>
        <w:br/>
      </w:r>
      <w:r>
        <w:t xml:space="preserve">This Quotation Estimate was generated on 15 June 2025. For inquiries or amendments, please contact quotes@starcastvn.com or call +84 28 3822 4567 (Mon–Fri, 08:00–17:00 ICT).</w:t>
      </w:r>
      <w:r>
        <w:br/>
      </w:r>
      <w:r>
        <w:rPr>
          <w:iCs/>
          <w:i/>
        </w:rPr>
        <w:t xml:space="preserve">This document is confidential and intended solely for the named recipient. Unauthorized distribution or reproduction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Vietnam Ho Chi Minh City</dc:title>
  <dc:creator/>
  <dc:language>en</dc:language>
  <cp:keywords/>
  <dcterms:created xsi:type="dcterms:W3CDTF">2026-10-10T01:59:24Z</dcterms:created>
  <dcterms:modified xsi:type="dcterms:W3CDTF">2026-10-10T01:59:24Z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